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bCs/>
          <w:sz w:val="44"/>
          <w:szCs w:val="44"/>
          <w:lang w:eastAsia="zh-CN"/>
        </w:rPr>
      </w:pPr>
      <w:r>
        <w:rPr>
          <w:rFonts w:hint="eastAsia" w:ascii="黑体" w:hAnsi="黑体" w:eastAsia="黑体"/>
          <w:b/>
          <w:bCs/>
          <w:sz w:val="44"/>
          <w:szCs w:val="44"/>
        </w:rPr>
        <w:t>采购项目</w:t>
      </w:r>
      <w:r>
        <w:rPr>
          <w:rFonts w:hint="eastAsia" w:ascii="黑体" w:hAnsi="黑体" w:eastAsia="黑体"/>
          <w:b/>
          <w:bCs/>
          <w:sz w:val="44"/>
          <w:szCs w:val="44"/>
          <w:lang w:val="en-US" w:eastAsia="zh-CN"/>
        </w:rPr>
        <w:t>异常低价</w:t>
      </w:r>
    </w:p>
    <w:p>
      <w:pPr>
        <w:jc w:val="center"/>
        <w:rPr>
          <w:rFonts w:hint="default" w:ascii="黑体" w:hAnsi="黑体" w:eastAsia="黑体"/>
          <w:b/>
          <w:bCs/>
          <w:sz w:val="44"/>
          <w:szCs w:val="44"/>
          <w:lang w:val="en-US" w:eastAsia="zh-CN"/>
        </w:rPr>
      </w:pPr>
      <w:r>
        <w:rPr>
          <w:rFonts w:hint="eastAsia" w:ascii="黑体" w:hAnsi="黑体" w:eastAsia="黑体"/>
          <w:b/>
          <w:bCs/>
          <w:sz w:val="44"/>
          <w:szCs w:val="44"/>
          <w:lang w:eastAsia="zh-CN"/>
        </w:rPr>
        <w:t>审查</w:t>
      </w:r>
      <w:r>
        <w:rPr>
          <w:rFonts w:hint="eastAsia" w:ascii="黑体" w:hAnsi="黑体" w:eastAsia="黑体"/>
          <w:b/>
          <w:bCs/>
          <w:sz w:val="44"/>
          <w:szCs w:val="44"/>
          <w:lang w:val="en-US" w:eastAsia="zh-CN"/>
        </w:rPr>
        <w:t>操作规范</w:t>
      </w:r>
    </w:p>
    <w:p>
      <w:pPr>
        <w:ind w:firstLine="640" w:firstLineChars="200"/>
        <w:rPr>
          <w:rFonts w:ascii="仿宋" w:hAnsi="仿宋" w:eastAsia="仿宋"/>
          <w:sz w:val="32"/>
          <w:szCs w:val="32"/>
        </w:rPr>
      </w:pPr>
    </w:p>
    <w:p>
      <w:pPr>
        <w:spacing w:line="560" w:lineRule="exac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依据《中华人民共和国招标投标法》、《中华人民共和国招标</w:t>
      </w:r>
      <w:r>
        <w:rPr>
          <w:rFonts w:hint="eastAsia" w:ascii="仿宋_GB2312" w:hAnsi="仿宋_GB2312" w:eastAsia="仿宋_GB2312" w:cs="仿宋_GB2312"/>
          <w:kern w:val="0"/>
          <w:sz w:val="28"/>
          <w:szCs w:val="28"/>
          <w:lang w:val="en-US" w:eastAsia="zh-CN"/>
        </w:rPr>
        <w:t>投标</w:t>
      </w:r>
      <w:r>
        <w:rPr>
          <w:rFonts w:hint="eastAsia" w:ascii="仿宋_GB2312" w:hAnsi="仿宋_GB2312" w:eastAsia="仿宋_GB2312" w:cs="仿宋_GB2312"/>
          <w:kern w:val="0"/>
          <w:sz w:val="28"/>
          <w:szCs w:val="28"/>
        </w:rPr>
        <w:t>法实施条例》</w:t>
      </w:r>
      <w:r>
        <w:rPr>
          <w:rFonts w:hint="eastAsia" w:ascii="仿宋_GB2312" w:hAnsi="仿宋_GB2312" w:eastAsia="仿宋_GB2312" w:cs="仿宋_GB2312"/>
          <w:kern w:val="0"/>
          <w:sz w:val="28"/>
          <w:szCs w:val="28"/>
          <w:lang w:eastAsia="zh-CN"/>
        </w:rPr>
        <w:t>、《中国移动招标投标管理办法》、《中国移动采购项目评审报告审查工作实施细则》</w:t>
      </w:r>
      <w:r>
        <w:rPr>
          <w:rFonts w:hint="eastAsia" w:ascii="仿宋_GB2312" w:hAnsi="仿宋_GB2312" w:eastAsia="仿宋_GB2312" w:cs="仿宋_GB2312"/>
          <w:kern w:val="0"/>
          <w:sz w:val="28"/>
          <w:szCs w:val="28"/>
        </w:rPr>
        <w:t>，结合</w:t>
      </w:r>
      <w:r>
        <w:rPr>
          <w:rFonts w:hint="eastAsia" w:ascii="仿宋_GB2312" w:hAnsi="仿宋_GB2312" w:eastAsia="仿宋_GB2312" w:cs="仿宋_GB2312"/>
          <w:kern w:val="0"/>
          <w:sz w:val="28"/>
          <w:szCs w:val="28"/>
          <w:lang w:val="en-US" w:eastAsia="zh-CN"/>
        </w:rPr>
        <w:t>相关实际情况</w:t>
      </w:r>
      <w:r>
        <w:rPr>
          <w:rFonts w:hint="eastAsia" w:ascii="仿宋_GB2312" w:hAnsi="仿宋_GB2312" w:eastAsia="仿宋_GB2312" w:cs="仿宋_GB2312"/>
          <w:kern w:val="0"/>
          <w:sz w:val="28"/>
          <w:szCs w:val="28"/>
        </w:rPr>
        <w:t>，制定本</w:t>
      </w:r>
      <w:r>
        <w:rPr>
          <w:rFonts w:hint="eastAsia" w:ascii="仿宋_GB2312" w:hAnsi="仿宋_GB2312" w:eastAsia="仿宋_GB2312" w:cs="仿宋_GB2312"/>
          <w:kern w:val="0"/>
          <w:sz w:val="28"/>
          <w:szCs w:val="28"/>
          <w:lang w:eastAsia="zh-CN"/>
        </w:rPr>
        <w:t>规范</w:t>
      </w:r>
      <w:r>
        <w:rPr>
          <w:rFonts w:hint="eastAsia" w:ascii="仿宋_GB2312" w:hAnsi="仿宋_GB2312" w:eastAsia="仿宋_GB2312" w:cs="仿宋_GB2312"/>
          <w:kern w:val="0"/>
          <w:sz w:val="28"/>
          <w:szCs w:val="28"/>
        </w:rPr>
        <w:t>。</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eastAsia="zh-CN"/>
        </w:rPr>
        <w:t>审查原则</w:t>
      </w:r>
    </w:p>
    <w:p>
      <w:pPr>
        <w:spacing w:line="56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在</w:t>
      </w:r>
      <w:r>
        <w:rPr>
          <w:rFonts w:hint="eastAsia" w:ascii="仿宋_GB2312" w:hAnsi="仿宋_GB2312" w:eastAsia="仿宋_GB2312" w:cs="仿宋_GB2312"/>
          <w:kern w:val="0"/>
          <w:sz w:val="28"/>
          <w:szCs w:val="28"/>
          <w:lang w:eastAsia="zh-CN"/>
        </w:rPr>
        <w:t>审查应答</w:t>
      </w:r>
      <w:r>
        <w:rPr>
          <w:rFonts w:hint="eastAsia" w:ascii="仿宋_GB2312" w:hAnsi="仿宋_GB2312" w:eastAsia="仿宋_GB2312" w:cs="仿宋_GB2312"/>
          <w:kern w:val="0"/>
          <w:sz w:val="28"/>
          <w:szCs w:val="28"/>
        </w:rPr>
        <w:t>报价是否</w:t>
      </w:r>
      <w:r>
        <w:rPr>
          <w:rFonts w:hint="eastAsia" w:ascii="仿宋_GB2312" w:hAnsi="仿宋_GB2312" w:eastAsia="仿宋_GB2312" w:cs="仿宋_GB2312"/>
          <w:kern w:val="0"/>
          <w:sz w:val="28"/>
          <w:szCs w:val="28"/>
          <w:lang w:val="en-US" w:eastAsia="zh-CN"/>
        </w:rPr>
        <w:t>涉及异常低价</w:t>
      </w:r>
      <w:r>
        <w:rPr>
          <w:rFonts w:hint="eastAsia" w:ascii="仿宋_GB2312" w:hAnsi="仿宋_GB2312" w:eastAsia="仿宋_GB2312" w:cs="仿宋_GB2312"/>
          <w:kern w:val="0"/>
          <w:sz w:val="28"/>
          <w:szCs w:val="28"/>
        </w:rPr>
        <w:t>时，</w:t>
      </w:r>
      <w:r>
        <w:rPr>
          <w:rFonts w:hint="eastAsia" w:ascii="仿宋_GB2312" w:hAnsi="仿宋_GB2312" w:eastAsia="仿宋_GB2312" w:cs="仿宋_GB2312"/>
          <w:kern w:val="0"/>
          <w:sz w:val="28"/>
          <w:szCs w:val="28"/>
          <w:lang w:val="en-US" w:eastAsia="zh-CN"/>
        </w:rPr>
        <w:t>评审委员会</w:t>
      </w:r>
      <w:r>
        <w:rPr>
          <w:rFonts w:hint="eastAsia" w:ascii="仿宋_GB2312" w:hAnsi="仿宋_GB2312" w:eastAsia="仿宋_GB2312" w:cs="仿宋_GB2312"/>
          <w:kern w:val="0"/>
          <w:sz w:val="28"/>
          <w:szCs w:val="28"/>
        </w:rPr>
        <w:t>应基于以下原则：</w:t>
      </w:r>
    </w:p>
    <w:p>
      <w:pPr>
        <w:spacing w:line="56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w:t>
      </w:r>
      <w:r>
        <w:rPr>
          <w:rFonts w:hint="eastAsia" w:ascii="仿宋_GB2312" w:hAnsi="仿宋_GB2312" w:eastAsia="仿宋_GB2312" w:cs="仿宋_GB2312"/>
          <w:kern w:val="0"/>
          <w:sz w:val="28"/>
          <w:szCs w:val="28"/>
          <w:lang w:val="en-US" w:eastAsia="zh-CN"/>
        </w:rPr>
        <w:t>合法合规</w:t>
      </w:r>
      <w:r>
        <w:rPr>
          <w:rFonts w:hint="eastAsia" w:ascii="仿宋_GB2312" w:hAnsi="仿宋_GB2312" w:eastAsia="仿宋_GB2312" w:cs="仿宋_GB2312"/>
          <w:kern w:val="0"/>
          <w:sz w:val="28"/>
          <w:szCs w:val="28"/>
        </w:rPr>
        <w:t>原则</w:t>
      </w:r>
    </w:p>
    <w:p>
      <w:pPr>
        <w:spacing w:line="56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评审工作需严格遵守</w:t>
      </w:r>
      <w:r>
        <w:rPr>
          <w:rFonts w:hint="eastAsia" w:ascii="仿宋_GB2312" w:hAnsi="仿宋_GB2312" w:eastAsia="仿宋_GB2312" w:cs="仿宋_GB2312"/>
          <w:kern w:val="0"/>
          <w:sz w:val="28"/>
          <w:szCs w:val="28"/>
          <w:lang w:val="en-US" w:eastAsia="zh-CN"/>
        </w:rPr>
        <w:t>法律法规</w:t>
      </w:r>
      <w:r>
        <w:rPr>
          <w:rFonts w:hint="eastAsia" w:ascii="仿宋_GB2312" w:hAnsi="仿宋_GB2312" w:eastAsia="仿宋_GB2312" w:cs="仿宋_GB2312"/>
          <w:kern w:val="0"/>
          <w:sz w:val="28"/>
          <w:szCs w:val="28"/>
        </w:rPr>
        <w:t>及</w:t>
      </w:r>
      <w:r>
        <w:rPr>
          <w:rFonts w:hint="eastAsia" w:ascii="仿宋_GB2312" w:hAnsi="仿宋_GB2312" w:eastAsia="仿宋_GB2312" w:cs="仿宋_GB2312"/>
          <w:kern w:val="0"/>
          <w:sz w:val="28"/>
          <w:szCs w:val="28"/>
          <w:lang w:val="en-US" w:eastAsia="zh-CN"/>
        </w:rPr>
        <w:t>公司相关管理办法要求</w:t>
      </w:r>
      <w:r>
        <w:rPr>
          <w:rFonts w:hint="eastAsia" w:ascii="仿宋_GB2312" w:hAnsi="仿宋_GB2312" w:eastAsia="仿宋_GB2312" w:cs="仿宋_GB2312"/>
          <w:kern w:val="0"/>
          <w:sz w:val="28"/>
          <w:szCs w:val="28"/>
        </w:rPr>
        <w:t>，</w:t>
      </w:r>
      <w:r>
        <w:rPr>
          <w:rFonts w:hint="eastAsia" w:ascii="仿宋_GB2312" w:hAnsi="仿宋_GB2312" w:eastAsia="仿宋_GB2312" w:cs="仿宋_GB2312"/>
          <w:kern w:val="0"/>
          <w:sz w:val="28"/>
          <w:szCs w:val="28"/>
          <w:lang w:val="en-US" w:eastAsia="zh-CN"/>
        </w:rPr>
        <w:t>相关内容</w:t>
      </w:r>
      <w:r>
        <w:rPr>
          <w:rFonts w:hint="eastAsia" w:ascii="仿宋_GB2312" w:hAnsi="仿宋_GB2312" w:eastAsia="仿宋_GB2312" w:cs="仿宋_GB2312"/>
          <w:kern w:val="0"/>
          <w:sz w:val="28"/>
          <w:szCs w:val="28"/>
        </w:rPr>
        <w:t>应</w:t>
      </w:r>
      <w:r>
        <w:rPr>
          <w:rFonts w:hint="eastAsia" w:ascii="仿宋_GB2312" w:hAnsi="仿宋_GB2312" w:eastAsia="仿宋_GB2312" w:cs="仿宋_GB2312"/>
          <w:kern w:val="0"/>
          <w:sz w:val="28"/>
          <w:szCs w:val="28"/>
          <w:lang w:val="en-US" w:eastAsia="zh-CN"/>
        </w:rPr>
        <w:t>在评审过程相关文件中</w:t>
      </w:r>
      <w:r>
        <w:rPr>
          <w:rFonts w:hint="eastAsia" w:ascii="仿宋_GB2312" w:hAnsi="仿宋_GB2312" w:eastAsia="仿宋_GB2312" w:cs="仿宋_GB2312"/>
          <w:kern w:val="0"/>
          <w:sz w:val="28"/>
          <w:szCs w:val="28"/>
        </w:rPr>
        <w:t>留存完整的工作记录。</w:t>
      </w:r>
    </w:p>
    <w:p>
      <w:pPr>
        <w:numPr>
          <w:ilvl w:val="0"/>
          <w:numId w:val="1"/>
        </w:numPr>
        <w:spacing w:line="56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合理性原则</w:t>
      </w:r>
    </w:p>
    <w:p>
      <w:pPr>
        <w:numPr>
          <w:ilvl w:val="0"/>
          <w:numId w:val="0"/>
        </w:numPr>
        <w:spacing w:line="560" w:lineRule="exact"/>
        <w:ind w:firstLine="560" w:firstLineChars="2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结合项目</w:t>
      </w:r>
      <w:r>
        <w:rPr>
          <w:rFonts w:hint="eastAsia" w:ascii="仿宋_GB2312" w:hAnsi="仿宋_GB2312" w:eastAsia="仿宋_GB2312" w:cs="仿宋_GB2312"/>
          <w:kern w:val="0"/>
          <w:sz w:val="28"/>
          <w:szCs w:val="28"/>
          <w:lang w:val="en-US" w:eastAsia="zh-CN"/>
        </w:rPr>
        <w:t>特性及实际情况</w:t>
      </w:r>
      <w:r>
        <w:rPr>
          <w:rFonts w:hint="eastAsia" w:ascii="仿宋_GB2312" w:hAnsi="仿宋_GB2312" w:eastAsia="仿宋_GB2312" w:cs="仿宋_GB2312"/>
          <w:kern w:val="0"/>
          <w:sz w:val="28"/>
          <w:szCs w:val="28"/>
        </w:rPr>
        <w:t>，</w:t>
      </w:r>
      <w:r>
        <w:rPr>
          <w:rFonts w:hint="eastAsia" w:ascii="仿宋_GB2312" w:hAnsi="仿宋_GB2312" w:eastAsia="仿宋_GB2312" w:cs="仿宋_GB2312"/>
          <w:kern w:val="0"/>
          <w:sz w:val="28"/>
          <w:szCs w:val="28"/>
          <w:lang w:val="en-US" w:eastAsia="zh-CN"/>
        </w:rPr>
        <w:t>综合</w:t>
      </w:r>
      <w:r>
        <w:rPr>
          <w:rFonts w:hint="eastAsia" w:ascii="仿宋_GB2312" w:hAnsi="仿宋_GB2312" w:eastAsia="仿宋_GB2312" w:cs="仿宋_GB2312"/>
          <w:kern w:val="0"/>
          <w:sz w:val="28"/>
          <w:szCs w:val="28"/>
        </w:rPr>
        <w:t>考虑市场价格、成本构成、行业标准等因素，综合判断报价合理性。</w:t>
      </w:r>
    </w:p>
    <w:p>
      <w:pPr>
        <w:numPr>
          <w:ilvl w:val="0"/>
          <w:numId w:val="1"/>
        </w:numPr>
        <w:spacing w:line="560" w:lineRule="exact"/>
        <w:ind w:left="0" w:leftChars="0" w:firstLine="560" w:firstLineChars="200"/>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rPr>
        <w:t>公平公正原则</w:t>
      </w:r>
    </w:p>
    <w:p>
      <w:pPr>
        <w:numPr>
          <w:ilvl w:val="0"/>
          <w:numId w:val="0"/>
        </w:numPr>
        <w:spacing w:line="560" w:lineRule="exact"/>
        <w:ind w:left="0" w:leftChars="0" w:firstLine="560" w:firstLineChars="200"/>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须针对</w:t>
      </w:r>
      <w:r>
        <w:rPr>
          <w:rFonts w:hint="eastAsia" w:ascii="仿宋_GB2312" w:hAnsi="仿宋_GB2312" w:eastAsia="仿宋_GB2312" w:cs="仿宋_GB2312"/>
          <w:kern w:val="0"/>
          <w:sz w:val="28"/>
          <w:szCs w:val="28"/>
        </w:rPr>
        <w:t>所有</w:t>
      </w:r>
      <w:r>
        <w:rPr>
          <w:rFonts w:hint="eastAsia" w:ascii="仿宋_GB2312" w:hAnsi="仿宋_GB2312" w:eastAsia="仿宋_GB2312" w:cs="仿宋_GB2312"/>
          <w:kern w:val="0"/>
          <w:sz w:val="28"/>
          <w:szCs w:val="28"/>
          <w:lang w:eastAsia="zh-CN"/>
        </w:rPr>
        <w:t>应答</w:t>
      </w:r>
      <w:r>
        <w:rPr>
          <w:rFonts w:hint="eastAsia" w:ascii="仿宋_GB2312" w:hAnsi="仿宋_GB2312" w:eastAsia="仿宋_GB2312" w:cs="仿宋_GB2312"/>
          <w:kern w:val="0"/>
          <w:sz w:val="28"/>
          <w:szCs w:val="28"/>
        </w:rPr>
        <w:t>人的报价进行公平公正的审查，确保不同</w:t>
      </w:r>
      <w:r>
        <w:rPr>
          <w:rFonts w:hint="eastAsia" w:ascii="仿宋_GB2312" w:hAnsi="仿宋_GB2312" w:eastAsia="仿宋_GB2312" w:cs="仿宋_GB2312"/>
          <w:kern w:val="0"/>
          <w:sz w:val="28"/>
          <w:szCs w:val="28"/>
          <w:lang w:eastAsia="zh-CN"/>
        </w:rPr>
        <w:t>应答</w:t>
      </w:r>
      <w:r>
        <w:rPr>
          <w:rFonts w:hint="eastAsia" w:ascii="仿宋_GB2312" w:hAnsi="仿宋_GB2312" w:eastAsia="仿宋_GB2312" w:cs="仿宋_GB2312"/>
          <w:kern w:val="0"/>
          <w:sz w:val="28"/>
          <w:szCs w:val="28"/>
        </w:rPr>
        <w:t>人处于同一评价基准</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对判定应确保有充分的证据和合理的依据</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避免因主观因素导致误判。</w:t>
      </w:r>
    </w:p>
    <w:p>
      <w:pPr>
        <w:numPr>
          <w:ilvl w:val="0"/>
          <w:numId w:val="2"/>
        </w:numPr>
        <w:spacing w:line="56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异常低价审查流程</w:t>
      </w:r>
    </w:p>
    <w:p>
      <w:pPr>
        <w:numPr>
          <w:ilvl w:val="0"/>
          <w:numId w:val="3"/>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异常低价审查启动条件</w:t>
      </w:r>
    </w:p>
    <w:p>
      <w:pPr>
        <w:numPr>
          <w:ilvl w:val="255"/>
          <w:numId w:val="0"/>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当应答报价出现下述启动条件情形之一时，评审委员会应启动审查程序，发起异常低价澄清。</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 投标（响应）报价低于全部通过符合性审查供应商投标（响应）报价平均值50%的，即投标（响应）报价&lt;全部通过符合性审查供应商投标（响应）报价平均值×50%。当通过符合性审查供应商≥7个时，去掉1个最高价和1个最低价；</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 投标（响应）报价低于通过符合性审查且报价次低供应商投标（响应）报价50%的，即投标（响应）报价&lt;通过符合性审查且报价次低供应商投标（响应）报价×50%；</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 投标（响应）报价低于采购项目最高限价45%的，即投标（响应）报价&lt;采购项目最高限价×45%；</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 其他评审委员会认为供应商报价过低，有可能影响产品质量或者不能诚信履约的情形。</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其他例外情况：</w:t>
      </w:r>
    </w:p>
    <w:p>
      <w:pPr>
        <w:numPr>
          <w:ilvl w:val="0"/>
          <w:numId w:val="4"/>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针对建筑工程、通信工程类等项目，如当地省、市相关主管部门已有针对该品类异常低价影响产品质量或不能诚信履约判定启动规则或标准的，依据当地政策实施。</w:t>
      </w:r>
    </w:p>
    <w:p>
      <w:pPr>
        <w:numPr>
          <w:ilvl w:val="0"/>
          <w:numId w:val="4"/>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定制化软件开发类项目遵照《中国移动定制化软件开发项目采购管理规定（试行）》要求执行。</w:t>
      </w:r>
    </w:p>
    <w:p>
      <w:pPr>
        <w:numPr>
          <w:ilvl w:val="0"/>
          <w:numId w:val="4"/>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成品软件（不需要进行定制化或二次开发的软件）成本差异较大，建议由评审委员会依据项目实际情况，综合评判是否启动异常低价审查。</w:t>
      </w:r>
    </w:p>
    <w:p>
      <w:pPr>
        <w:numPr>
          <w:ilvl w:val="0"/>
          <w:numId w:val="4"/>
        </w:numPr>
        <w:spacing w:line="560" w:lineRule="exact"/>
        <w:ind w:firstLine="560" w:firstLineChars="200"/>
        <w:rPr>
          <w:rFonts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以框架协议方式采购的</w:t>
      </w:r>
      <w:r>
        <w:rPr>
          <w:rFonts w:hint="eastAsia" w:ascii="仿宋_GB2312" w:hAnsi="仿宋_GB2312" w:eastAsia="仿宋_GB2312" w:cs="仿宋_GB2312"/>
          <w:kern w:val="0"/>
          <w:sz w:val="28"/>
          <w:szCs w:val="28"/>
          <w:highlight w:val="none"/>
          <w:lang w:val="en-US" w:eastAsia="zh-CN"/>
        </w:rPr>
        <w:t>服务</w:t>
      </w:r>
      <w:r>
        <w:rPr>
          <w:rFonts w:hint="eastAsia" w:ascii="仿宋_GB2312" w:hAnsi="仿宋_GB2312" w:eastAsia="仿宋_GB2312" w:cs="仿宋_GB2312"/>
          <w:kern w:val="0"/>
          <w:sz w:val="28"/>
          <w:szCs w:val="28"/>
          <w:highlight w:val="none"/>
        </w:rPr>
        <w:t>类项目，可不将条件3作为触发条件。</w:t>
      </w:r>
    </w:p>
    <w:p>
      <w:pPr>
        <w:numPr>
          <w:ilvl w:val="0"/>
          <w:numId w:val="4"/>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首次</w:t>
      </w:r>
      <w:r>
        <w:rPr>
          <w:rFonts w:hint="eastAsia" w:ascii="仿宋_GB2312" w:hAnsi="仿宋_GB2312" w:eastAsia="仿宋_GB2312" w:cs="仿宋_GB2312"/>
          <w:kern w:val="0"/>
          <w:sz w:val="28"/>
          <w:szCs w:val="28"/>
          <w:lang w:val="en-US" w:eastAsia="zh-CN"/>
        </w:rPr>
        <w:t>集中</w:t>
      </w:r>
      <w:r>
        <w:rPr>
          <w:rFonts w:hint="eastAsia" w:ascii="仿宋_GB2312" w:hAnsi="仿宋_GB2312" w:eastAsia="仿宋_GB2312" w:cs="仿宋_GB2312"/>
          <w:kern w:val="0"/>
          <w:sz w:val="28"/>
          <w:szCs w:val="28"/>
        </w:rPr>
        <w:t>采购的项目，可不将条件3作为触发条件。</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各单位也可依据项目特性确定启动条件并在采购方案中决策后实施。</w:t>
      </w:r>
    </w:p>
    <w:p>
      <w:pPr>
        <w:numPr>
          <w:ilvl w:val="0"/>
          <w:numId w:val="3"/>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异常低价判定参考依据</w:t>
      </w:r>
    </w:p>
    <w:p>
      <w:pPr>
        <w:numPr>
          <w:ilvl w:val="255"/>
          <w:numId w:val="0"/>
        </w:num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评审委员会是异常低价判定的主体，评审委员会应根据澄清情况，并参考如下依据，进行最终判定。</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1.针对市场类产品可参考同类产品的市场价格，依据相同类别、相同规则型号或相同技术标准产品在主要电商平台的价格，综合判断应答报价是否明显低于市场正常水平。</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行业成本标准：参考行业内的成本标准和经验数据，分析应答报价是否符合行业常规成本水平。对跨行业通用的成本型产品，可依据上海有色网（https://www.smm.cn/）等权威信息或其他大数据、大模型分析工具搜集和分析相同品类成本。</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人工成本：对于软件开发、系统维保、运营支撑等服务类产品，如需人员本地驻场或异地远程服务的，可依据该行业当地薪资水平（国家统计局统计年鉴https://www.stats.gov.cn/），判断应答报价中的人工成本是否合理。</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当针对供应商启动异常低价审查时，可要求供应商依据上述逻辑提供相应书面说明及必要的证明材料（如网站地址、页面截图、采购合同、发票、社保缴纳记录等）。</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（三）异常低价审查流程</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 启动审查程序：当应答报价触发启动条件时，评审委员会应启动审查程序。</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 履行澄清程序：应要求相关供应商在合理时间内提供书面说明及必要的证明材料，对应答价格作出解释。书面说明、证明材料须是与具体成本测算依据、可正常履约或其他报价合理性相关的说明材料。澄清程序应通过系统发起且依据收集编写澄清材料的工作量预留合理时间。</w:t>
      </w:r>
    </w:p>
    <w:p>
      <w:pPr>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 综合分析判断：评审委员会结合上述判定依据，对应答人的书面说明和证明材料进行综合分析，对供应商澄清内容进行判断。如应答人没有按照澄清要求提供书面说明或证明材料</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或</w:t>
      </w:r>
      <w:r>
        <w:rPr>
          <w:rFonts w:hint="eastAsia" w:ascii="仿宋_GB2312" w:hAnsi="仿宋_GB2312" w:eastAsia="仿宋_GB2312" w:cs="仿宋_GB2312"/>
          <w:kern w:val="0"/>
          <w:sz w:val="28"/>
          <w:szCs w:val="28"/>
        </w:rPr>
        <w:t>依据其澄清、应答内容可以被认定为低于其成本</w:t>
      </w:r>
      <w:r>
        <w:rPr>
          <w:rFonts w:hint="eastAsia" w:ascii="仿宋_GB2312" w:hAnsi="仿宋_GB2312" w:eastAsia="仿宋_GB2312" w:cs="仿宋_GB2312"/>
          <w:kern w:val="0"/>
          <w:sz w:val="28"/>
          <w:szCs w:val="28"/>
          <w:lang w:val="en-US" w:eastAsia="zh-CN"/>
        </w:rPr>
        <w:t>的，</w:t>
      </w:r>
      <w:r>
        <w:rPr>
          <w:rFonts w:hint="eastAsia" w:ascii="仿宋_GB2312" w:hAnsi="仿宋_GB2312" w:eastAsia="仿宋_GB2312" w:cs="仿宋_GB2312"/>
          <w:kern w:val="0"/>
          <w:sz w:val="28"/>
          <w:szCs w:val="28"/>
        </w:rPr>
        <w:t>评审委员会应否决供应商应答。评审委员会应明确否决供应商应答的依据，并在评审报告中如实记录。</w:t>
      </w:r>
    </w:p>
    <w:p>
      <w:pPr>
        <w:spacing w:line="480" w:lineRule="auto"/>
        <w:ind w:firstLine="435"/>
        <w:jc w:val="left"/>
        <w:rPr>
          <w:rFonts w:ascii="宋体" w:hAnsi="宋体" w:eastAsia="宋体" w:cs="Times New Roman"/>
          <w:szCs w:val="21"/>
        </w:rPr>
      </w:pPr>
      <w:r>
        <w:rPr>
          <w:rFonts w:ascii="宋体" w:hAnsi="宋体" w:eastAsia="宋体"/>
        </w:rPr>
        <mc:AlternateContent>
          <mc:Choice Requires="wps">
            <w:drawing>
              <wp:anchor distT="0" distB="0" distL="114300" distR="114300" simplePos="0" relativeHeight="251659264" behindDoc="0" locked="0" layoutInCell="1" allowOverlap="1">
                <wp:simplePos x="0" y="0"/>
                <wp:positionH relativeFrom="column">
                  <wp:posOffset>1672590</wp:posOffset>
                </wp:positionH>
                <wp:positionV relativeFrom="paragraph">
                  <wp:posOffset>157480</wp:posOffset>
                </wp:positionV>
                <wp:extent cx="2658110" cy="371475"/>
                <wp:effectExtent l="4445" t="4445" r="13970" b="5080"/>
                <wp:wrapNone/>
                <wp:docPr id="12" name="Rectangle 5"/>
                <wp:cNvGraphicFramePr/>
                <a:graphic xmlns:a="http://schemas.openxmlformats.org/drawingml/2006/main">
                  <a:graphicData uri="http://schemas.microsoft.com/office/word/2010/wordprocessingShape">
                    <wps:wsp>
                      <wps:cNvSpPr>
                        <a:spLocks noChangeArrowheads="1"/>
                      </wps:cNvSpPr>
                      <wps:spPr bwMode="auto">
                        <a:xfrm>
                          <a:off x="0" y="0"/>
                          <a:ext cx="2658110" cy="371475"/>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向触发启动条件的供应商发出澄清</w:t>
                            </w:r>
                          </w:p>
                        </w:txbxContent>
                      </wps:txbx>
                      <wps:bodyPr wrap="square" anchor="ctr"/>
                    </wps:wsp>
                  </a:graphicData>
                </a:graphic>
              </wp:anchor>
            </w:drawing>
          </mc:Choice>
          <mc:Fallback>
            <w:pict>
              <v:rect id="Rectangle 5" o:spid="_x0000_s1026" o:spt="1" style="position:absolute;left:0pt;margin-left:131.7pt;margin-top:12.4pt;height:29.25pt;width:209.3pt;z-index:251659264;v-text-anchor:middle;mso-width-relative:page;mso-height-relative:page;" fillcolor="#EAEAEA" filled="t" stroked="t" coordsize="21600,21600" o:gfxdata="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wUIl9gAAAAJAQAADwAAAAAAAAABACAAAAAiAAAAZHJzL2Rvd25yZXYueG1s&#10;UEsBAhQAFAAAAAgAh07iQHDxc2j4AQAABAQAAA4AAAAAAAAAAQAgAAAAJwEAAGRycy9lMm9Eb2Mu&#10;eG1sUEsFBgAAAAAGAAYAWQEAAJEFAAAAAA==&#10;">
                <v:fill on="t" focussize="0,0"/>
                <v:stroke color="#B2B2B2" miterlimit="8" joinstyle="miter"/>
                <v:imagedata o:title=""/>
                <o:lock v:ext="edit" aspectratio="f"/>
                <v:textbo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向触发启动条件的供应商发出澄清</w:t>
                      </w:r>
                    </w:p>
                  </w:txbxContent>
                </v:textbox>
              </v:rect>
            </w:pict>
          </mc:Fallback>
        </mc:AlternateContent>
      </w:r>
    </w:p>
    <w:p>
      <w:pPr>
        <w:spacing w:line="480" w:lineRule="auto"/>
        <w:ind w:firstLine="435"/>
        <w:jc w:val="left"/>
        <w:rPr>
          <w:rFonts w:ascii="宋体" w:hAnsi="宋体" w:eastAsia="宋体" w:cs="Times New Roman"/>
          <w:szCs w:val="21"/>
        </w:rPr>
      </w:pPr>
      <w:r>
        <w:rPr>
          <w:rFonts w:hint="eastAsia" w:ascii="宋体" w:hAnsi="宋体" w:eastAsia="宋体" w:cs="Times New Roman"/>
          <w:szCs w:val="21"/>
        </w:rPr>
        <mc:AlternateContent>
          <mc:Choice Requires="wps">
            <w:drawing>
              <wp:anchor distT="0" distB="0" distL="114300" distR="114300" simplePos="0" relativeHeight="251671552" behindDoc="0" locked="0" layoutInCell="1" allowOverlap="1">
                <wp:simplePos x="0" y="0"/>
                <wp:positionH relativeFrom="column">
                  <wp:posOffset>2847340</wp:posOffset>
                </wp:positionH>
                <wp:positionV relativeFrom="paragraph">
                  <wp:posOffset>201295</wp:posOffset>
                </wp:positionV>
                <wp:extent cx="285750" cy="521335"/>
                <wp:effectExtent l="12700" t="12700" r="15875" b="18415"/>
                <wp:wrapNone/>
                <wp:docPr id="1" name="下箭头 1"/>
                <wp:cNvGraphicFramePr/>
                <a:graphic xmlns:a="http://schemas.openxmlformats.org/drawingml/2006/main">
                  <a:graphicData uri="http://schemas.microsoft.com/office/word/2010/wordprocessingShape">
                    <wps:wsp>
                      <wps:cNvSpPr/>
                      <wps:spPr>
                        <a:xfrm>
                          <a:off x="0" y="0"/>
                          <a:ext cx="285750" cy="521335"/>
                        </a:xfrm>
                        <a:prstGeom prst="downArrow">
                          <a:avLst/>
                        </a:prstGeom>
                        <a:solidFill>
                          <a:srgbClr val="4F81BD"/>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67" type="#_x0000_t67" style="position:absolute;left:0pt;margin-left:224.2pt;margin-top:15.85pt;height:41.05pt;width:22.5pt;z-index:251671552;v-text-anchor:middle;mso-width-relative:page;mso-height-relative:page;" fillcolor="#4F81BD" filled="t" stroked="t" coordsize="21600,21600" o:gfxdata="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7X6iZ2gAAAAoBAAAPAAAAAAAAAAEAIAAAACIAAABkcnMvZG93bnJldi54bWxQSwECFAAU&#10;AAAACACHTuJAjIwzZmECAADYBAAADgAAAAAAAAABACAAAAApAQAAZHJzL2Uyb0RvYy54bWxQSwUG&#10;AAAAAAYABgBZAQAA/AUAAAAA&#10;" adj="15681,5400">
                <v:fill on="t" focussize="0,0"/>
                <v:stroke weight="2pt" color="#385D8A" joinstyle="round"/>
                <v:imagedata o:title=""/>
                <o:lock v:ext="edit" aspectratio="f"/>
              </v:shape>
            </w:pict>
          </mc:Fallback>
        </mc:AlternateContent>
      </w:r>
    </w:p>
    <w:p>
      <w:pPr>
        <w:spacing w:line="480" w:lineRule="auto"/>
        <w:ind w:firstLine="435"/>
        <w:jc w:val="left"/>
        <w:rPr>
          <w:rFonts w:ascii="宋体" w:hAnsi="宋体" w:eastAsia="宋体" w:cs="Times New Roman"/>
          <w:szCs w:val="21"/>
        </w:rPr>
      </w:pPr>
      <w:r>
        <w:rPr>
          <w:rFonts w:ascii="宋体" w:hAnsi="宋体" w:eastAsia="宋体"/>
        </w:rPr>
        <mc:AlternateContent>
          <mc:Choice Requires="wps">
            <w:drawing>
              <wp:anchor distT="0" distB="0" distL="114300" distR="114300" simplePos="0" relativeHeight="251660288" behindDoc="0" locked="0" layoutInCell="1" allowOverlap="1">
                <wp:simplePos x="0" y="0"/>
                <wp:positionH relativeFrom="column">
                  <wp:posOffset>1650365</wp:posOffset>
                </wp:positionH>
                <wp:positionV relativeFrom="paragraph">
                  <wp:posOffset>381635</wp:posOffset>
                </wp:positionV>
                <wp:extent cx="2665095" cy="353695"/>
                <wp:effectExtent l="4445" t="4445" r="6985" b="13335"/>
                <wp:wrapNone/>
                <wp:docPr id="3" name="Rectangle 5"/>
                <wp:cNvGraphicFramePr/>
                <a:graphic xmlns:a="http://schemas.openxmlformats.org/drawingml/2006/main">
                  <a:graphicData uri="http://schemas.microsoft.com/office/word/2010/wordprocessingShape">
                    <wps:wsp>
                      <wps:cNvSpPr>
                        <a:spLocks noChangeArrowheads="1"/>
                      </wps:cNvSpPr>
                      <wps:spPr bwMode="auto">
                        <a:xfrm>
                          <a:off x="0" y="0"/>
                          <a:ext cx="2665095" cy="353695"/>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供应商澄清</w:t>
                            </w:r>
                          </w:p>
                        </w:txbxContent>
                      </wps:txbx>
                      <wps:bodyPr wrap="square" anchor="ctr"/>
                    </wps:wsp>
                  </a:graphicData>
                </a:graphic>
              </wp:anchor>
            </w:drawing>
          </mc:Choice>
          <mc:Fallback>
            <w:pict>
              <v:rect id="Rectangle 5" o:spid="_x0000_s1026" o:spt="1" style="position:absolute;left:0pt;margin-left:129.95pt;margin-top:30.05pt;height:27.85pt;width:209.85pt;z-index:251660288;v-text-anchor:middle;mso-width-relative:page;mso-height-relative:page;" fillcolor="#EAEAEA" filled="t" stroked="t" coordsize="21600,21600" o:gfxdata="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IjQYk2AAAAAoBAAAPAAAAAAAAAAEAIAAAACIAAABkcnMvZG93bnJldi54bWxQ&#10;SwECFAAUAAAACACHTuJAdaGy7PcBAAADBAAADgAAAAAAAAABACAAAAAnAQAAZHJzL2Uyb0RvYy54&#10;bWxQSwUGAAAAAAYABgBZAQAAkAUAAAAA&#10;">
                <v:fill on="t" focussize="0,0"/>
                <v:stroke color="#B2B2B2" miterlimit="8" joinstyle="miter"/>
                <v:imagedata o:title=""/>
                <o:lock v:ext="edit" aspectratio="f"/>
                <v:textbo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供应商澄清</w:t>
                      </w:r>
                    </w:p>
                  </w:txbxContent>
                </v:textbox>
              </v:rect>
            </w:pict>
          </mc:Fallback>
        </mc:AlternateContent>
      </w:r>
    </w:p>
    <w:p>
      <w:pPr>
        <w:spacing w:line="480" w:lineRule="auto"/>
        <w:ind w:firstLine="435"/>
        <w:jc w:val="left"/>
        <w:rPr>
          <w:rFonts w:ascii="宋体" w:hAnsi="宋体" w:eastAsia="宋体" w:cs="Times New Roman"/>
          <w:szCs w:val="21"/>
        </w:rPr>
      </w:pPr>
    </w:p>
    <w:p>
      <w:pPr>
        <w:spacing w:line="480" w:lineRule="auto"/>
        <w:ind w:firstLine="435"/>
        <w:jc w:val="left"/>
        <w:rPr>
          <w:rFonts w:ascii="宋体" w:hAnsi="宋体" w:eastAsia="宋体" w:cs="Times New Roman"/>
          <w:szCs w:val="21"/>
        </w:rPr>
      </w:pPr>
      <w:r>
        <w:rPr>
          <w:rFonts w:hint="eastAsia" w:ascii="宋体" w:hAnsi="宋体" w:eastAsia="宋体" w:cs="Times New Roman"/>
          <w:szCs w:val="21"/>
        </w:rPr>
        <mc:AlternateContent>
          <mc:Choice Requires="wps">
            <w:drawing>
              <wp:anchor distT="0" distB="0" distL="114300" distR="114300" simplePos="0" relativeHeight="251666432" behindDoc="0" locked="0" layoutInCell="1" allowOverlap="1">
                <wp:simplePos x="0" y="0"/>
                <wp:positionH relativeFrom="column">
                  <wp:posOffset>2837815</wp:posOffset>
                </wp:positionH>
                <wp:positionV relativeFrom="paragraph">
                  <wp:posOffset>65405</wp:posOffset>
                </wp:positionV>
                <wp:extent cx="285750" cy="530225"/>
                <wp:effectExtent l="12700" t="12700" r="15875" b="19050"/>
                <wp:wrapNone/>
                <wp:docPr id="17" name="下箭头 17"/>
                <wp:cNvGraphicFramePr/>
                <a:graphic xmlns:a="http://schemas.openxmlformats.org/drawingml/2006/main">
                  <a:graphicData uri="http://schemas.microsoft.com/office/word/2010/wordprocessingShape">
                    <wps:wsp>
                      <wps:cNvSpPr/>
                      <wps:spPr>
                        <a:xfrm>
                          <a:off x="0" y="0"/>
                          <a:ext cx="285750" cy="530225"/>
                        </a:xfrm>
                        <a:prstGeom prst="downArrow">
                          <a:avLst/>
                        </a:prstGeom>
                        <a:solidFill>
                          <a:srgbClr val="4F81BD"/>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67" type="#_x0000_t67" style="position:absolute;left:0pt;margin-left:223.45pt;margin-top:5.15pt;height:41.75pt;width:22.5pt;z-index:251666432;v-text-anchor:middle;mso-width-relative:page;mso-height-relative:page;" fillcolor="#4F81BD" filled="t" stroked="t" coordsize="21600,21600" o:gfxdata="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10gGodoAAAAJAQAADwAAAAAAAAABACAAAAAiAAAAZHJzL2Rvd25yZXYueG1sUEsBAhQA&#10;FAAAAAgAh07iQEC64QliAgAA2gQAAA4AAAAAAAAAAQAgAAAAKQEAAGRycy9lMm9Eb2MueG1sUEsF&#10;BgAAAAAGAAYAWQEAAP0FAAAAAA==&#10;" adj="15780,5400">
                <v:fill on="t" focussize="0,0"/>
                <v:stroke weight="2pt" color="#385D8A" joinstyle="round"/>
                <v:imagedata o:title=""/>
                <o:lock v:ext="edit" aspectratio="f"/>
              </v:shape>
            </w:pict>
          </mc:Fallback>
        </mc:AlternateContent>
      </w:r>
    </w:p>
    <w:p>
      <w:pPr>
        <w:tabs>
          <w:tab w:val="left" w:pos="989"/>
        </w:tabs>
        <w:spacing w:line="480" w:lineRule="auto"/>
        <w:jc w:val="left"/>
        <w:rPr>
          <w:rFonts w:ascii="宋体" w:hAnsi="宋体" w:eastAsia="宋体" w:cs="Times New Roman"/>
          <w:szCs w:val="21"/>
        </w:rPr>
      </w:pPr>
      <w:r>
        <w:rPr>
          <w:rFonts w:ascii="宋体" w:hAnsi="宋体" w:eastAsia="宋体"/>
        </w:rPr>
        <mc:AlternateContent>
          <mc:Choice Requires="wps">
            <w:drawing>
              <wp:anchor distT="0" distB="0" distL="114300" distR="114300" simplePos="0" relativeHeight="251661312" behindDoc="0" locked="0" layoutInCell="1" allowOverlap="1">
                <wp:simplePos x="0" y="0"/>
                <wp:positionH relativeFrom="column">
                  <wp:posOffset>1670685</wp:posOffset>
                </wp:positionH>
                <wp:positionV relativeFrom="paragraph">
                  <wp:posOffset>250825</wp:posOffset>
                </wp:positionV>
                <wp:extent cx="2654935" cy="308610"/>
                <wp:effectExtent l="4445" t="5080" r="7620" b="10160"/>
                <wp:wrapNone/>
                <wp:docPr id="4" name="Rectangle 5"/>
                <wp:cNvGraphicFramePr/>
                <a:graphic xmlns:a="http://schemas.openxmlformats.org/drawingml/2006/main">
                  <a:graphicData uri="http://schemas.microsoft.com/office/word/2010/wordprocessingShape">
                    <wps:wsp>
                      <wps:cNvSpPr>
                        <a:spLocks noChangeArrowheads="1"/>
                      </wps:cNvSpPr>
                      <wps:spPr bwMode="auto">
                        <a:xfrm>
                          <a:off x="0" y="0"/>
                          <a:ext cx="2654935" cy="308610"/>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评审委员会综合判定</w:t>
                            </w:r>
                          </w:p>
                        </w:txbxContent>
                      </wps:txbx>
                      <wps:bodyPr wrap="square" anchor="ctr"/>
                    </wps:wsp>
                  </a:graphicData>
                </a:graphic>
              </wp:anchor>
            </w:drawing>
          </mc:Choice>
          <mc:Fallback>
            <w:pict>
              <v:rect id="Rectangle 5" o:spid="_x0000_s1026" o:spt="1" style="position:absolute;left:0pt;margin-left:131.55pt;margin-top:19.75pt;height:24.3pt;width:209.05pt;z-index:251661312;v-text-anchor:middle;mso-width-relative:page;mso-height-relative:page;" fillcolor="#EAEAEA" filled="t" stroked="t" coordsize="21600,21600" o:gfxdata="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Fcje7YAAAACQEAAA8AAAAAAAAAAQAgAAAAIgAAAGRycy9kb3ducmV2Lnht&#10;bFBLAQIUABQAAAAIAIdO4kBEJBEI+QEAAAMEAAAOAAAAAAAAAAEAIAAAACcBAABkcnMvZTJvRG9j&#10;LnhtbFBLBQYAAAAABgAGAFkBAACSBQAAAAA=&#10;">
                <v:fill on="t" focussize="0,0"/>
                <v:stroke color="#B2B2B2" miterlimit="8" joinstyle="miter"/>
                <v:imagedata o:title=""/>
                <o:lock v:ext="edit" aspectratio="f"/>
                <v:textbo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评审委员会综合判定</w:t>
                      </w:r>
                    </w:p>
                  </w:txbxContent>
                </v:textbox>
              </v:rect>
            </w:pict>
          </mc:Fallback>
        </mc:AlternateContent>
      </w:r>
    </w:p>
    <w:p>
      <w:pPr>
        <w:spacing w:line="480" w:lineRule="auto"/>
        <w:ind w:firstLine="435"/>
        <w:jc w:val="left"/>
        <w:rPr>
          <w:rFonts w:ascii="宋体" w:hAnsi="宋体" w:eastAsia="宋体" w:cs="Times New Roman"/>
          <w:szCs w:val="21"/>
        </w:rPr>
      </w:pPr>
      <w:r>
        <w:rPr>
          <w:rFonts w:hint="eastAsia" w:ascii="宋体" w:hAnsi="宋体" w:eastAsia="宋体" w:cs="Times New Roman"/>
          <w:szCs w:val="21"/>
        </w:rPr>
        <mc:AlternateContent>
          <mc:Choice Requires="wps">
            <w:drawing>
              <wp:anchor distT="0" distB="0" distL="114300" distR="114300" simplePos="0" relativeHeight="251668480" behindDoc="0" locked="0" layoutInCell="1" allowOverlap="1">
                <wp:simplePos x="0" y="0"/>
                <wp:positionH relativeFrom="column">
                  <wp:posOffset>3528695</wp:posOffset>
                </wp:positionH>
                <wp:positionV relativeFrom="paragraph">
                  <wp:posOffset>226060</wp:posOffset>
                </wp:positionV>
                <wp:extent cx="285750" cy="439420"/>
                <wp:effectExtent l="12700" t="12700" r="15875" b="14605"/>
                <wp:wrapNone/>
                <wp:docPr id="26" name="下箭头 26"/>
                <wp:cNvGraphicFramePr/>
                <a:graphic xmlns:a="http://schemas.openxmlformats.org/drawingml/2006/main">
                  <a:graphicData uri="http://schemas.microsoft.com/office/word/2010/wordprocessingShape">
                    <wps:wsp>
                      <wps:cNvSpPr/>
                      <wps:spPr>
                        <a:xfrm>
                          <a:off x="0" y="0"/>
                          <a:ext cx="285750" cy="439420"/>
                        </a:xfrm>
                        <a:prstGeom prst="downArrow">
                          <a:avLst/>
                        </a:prstGeom>
                        <a:solidFill>
                          <a:srgbClr val="4F81BD"/>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67" type="#_x0000_t67" style="position:absolute;left:0pt;margin-left:277.85pt;margin-top:17.8pt;height:34.6pt;width:22.5pt;z-index:251668480;v-text-anchor:middle;mso-width-relative:page;mso-height-relative:page;" fillcolor="#4F81BD" filled="t" stroked="t" coordsize="21600,21600" o:gfxdata="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zFxZBNgAAAAKAQAADwAAAAAAAAABACAAAAAiAAAAZHJzL2Rvd25yZXYueG1sUEsBAhQA&#10;FAAAAAgAh07iQIojFY5kAgAA2gQAAA4AAAAAAAAAAQAgAAAAJwEAAGRycy9lMm9Eb2MueG1sUEsF&#10;BgAAAAAGAAYAWQEAAP0FAAAAAA==&#10;" adj="14577,5400">
                <v:fill on="t" focussize="0,0"/>
                <v:stroke weight="2pt" color="#385D8A" joinstyle="round"/>
                <v:imagedata o:title=""/>
                <o:lock v:ext="edit" aspectratio="f"/>
              </v:shape>
            </w:pict>
          </mc:Fallback>
        </mc:AlternateContent>
      </w:r>
      <w:r>
        <w:rPr>
          <w:rFonts w:hint="eastAsia" w:ascii="宋体" w:hAnsi="宋体" w:eastAsia="宋体" w:cs="Times New Roman"/>
          <w:szCs w:val="21"/>
        </w:rPr>
        <mc:AlternateContent>
          <mc:Choice Requires="wps">
            <w:drawing>
              <wp:anchor distT="0" distB="0" distL="114300" distR="114300" simplePos="0" relativeHeight="251667456" behindDoc="0" locked="0" layoutInCell="1" allowOverlap="1">
                <wp:simplePos x="0" y="0"/>
                <wp:positionH relativeFrom="column">
                  <wp:posOffset>2103120</wp:posOffset>
                </wp:positionH>
                <wp:positionV relativeFrom="paragraph">
                  <wp:posOffset>220345</wp:posOffset>
                </wp:positionV>
                <wp:extent cx="285750" cy="433070"/>
                <wp:effectExtent l="12700" t="12700" r="15875" b="20955"/>
                <wp:wrapNone/>
                <wp:docPr id="25" name="下箭头 25"/>
                <wp:cNvGraphicFramePr/>
                <a:graphic xmlns:a="http://schemas.openxmlformats.org/drawingml/2006/main">
                  <a:graphicData uri="http://schemas.microsoft.com/office/word/2010/wordprocessingShape">
                    <wps:wsp>
                      <wps:cNvSpPr/>
                      <wps:spPr>
                        <a:xfrm>
                          <a:off x="0" y="0"/>
                          <a:ext cx="285750" cy="433070"/>
                        </a:xfrm>
                        <a:prstGeom prst="downArrow">
                          <a:avLst/>
                        </a:prstGeom>
                        <a:solidFill>
                          <a:srgbClr val="4F81BD"/>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67" type="#_x0000_t67" style="position:absolute;left:0pt;margin-left:165.6pt;margin-top:17.35pt;height:34.1pt;width:22.5pt;z-index:251667456;v-text-anchor:middle;mso-width-relative:page;mso-height-relative:page;" fillcolor="#4F81BD" filled="t" stroked="t" coordsize="21600,21600" o:gfxdata="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zBaMjaAAAACgEAAA8AAAAAAAAAAQAgAAAAIgAAAGRycy9kb3ducmV2LnhtbFBLAQIU&#10;ABQAAAAIAIdO4kCWLND4YwIAANoEAAAOAAAAAAAAAAEAIAAAACkBAABkcnMvZTJvRG9jLnhtbFBL&#10;BQYAAAAABgAGAFkBAAD+BQAAAAA=&#10;" adj="14474,5400">
                <v:fill on="t" focussize="0,0"/>
                <v:stroke weight="2pt" color="#385D8A" joinstyle="round"/>
                <v:imagedata o:title=""/>
                <o:lock v:ext="edit" aspectratio="f"/>
              </v:shape>
            </w:pict>
          </mc:Fallback>
        </mc:AlternateContent>
      </w:r>
    </w:p>
    <w:p>
      <w:pPr>
        <w:spacing w:line="480" w:lineRule="auto"/>
        <w:ind w:firstLine="435"/>
        <w:jc w:val="left"/>
        <w:rPr>
          <w:rFonts w:ascii="宋体" w:hAnsi="宋体" w:eastAsia="宋体" w:cs="Times New Roman"/>
          <w:szCs w:val="21"/>
        </w:rPr>
      </w:pPr>
      <w:r>
        <w:rPr>
          <w:rFonts w:ascii="宋体" w:hAnsi="宋体" w:eastAsia="宋体"/>
        </w:rPr>
        <mc:AlternateContent>
          <mc:Choice Requires="wps">
            <w:drawing>
              <wp:anchor distT="0" distB="0" distL="114300" distR="114300" simplePos="0" relativeHeight="251663360" behindDoc="0" locked="0" layoutInCell="1" allowOverlap="1">
                <wp:simplePos x="0" y="0"/>
                <wp:positionH relativeFrom="column">
                  <wp:posOffset>3056890</wp:posOffset>
                </wp:positionH>
                <wp:positionV relativeFrom="paragraph">
                  <wp:posOffset>314325</wp:posOffset>
                </wp:positionV>
                <wp:extent cx="1286510" cy="330835"/>
                <wp:effectExtent l="4445" t="4445" r="13970" b="7620"/>
                <wp:wrapNone/>
                <wp:docPr id="11" name="Rectangle 5"/>
                <wp:cNvGraphicFramePr/>
                <a:graphic xmlns:a="http://schemas.openxmlformats.org/drawingml/2006/main">
                  <a:graphicData uri="http://schemas.microsoft.com/office/word/2010/wordprocessingShape">
                    <wps:wsp>
                      <wps:cNvSpPr>
                        <a:spLocks noChangeArrowheads="1"/>
                      </wps:cNvSpPr>
                      <wps:spPr bwMode="auto">
                        <a:xfrm>
                          <a:off x="0" y="0"/>
                          <a:ext cx="1286510" cy="330835"/>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rPr>
                                <w:rFonts w:eastAsia="楷体_GB2312"/>
                              </w:rPr>
                            </w:pPr>
                            <w:r>
                              <w:rPr>
                                <w:rFonts w:hint="eastAsia" w:ascii="楷体_GB2312" w:eastAsia="楷体_GB2312" w:cstheme="minorBidi"/>
                                <w:color w:val="006600"/>
                                <w:kern w:val="24"/>
                                <w:sz w:val="21"/>
                                <w:szCs w:val="21"/>
                              </w:rPr>
                              <w:t>未澄清/低于成本</w:t>
                            </w:r>
                          </w:p>
                        </w:txbxContent>
                      </wps:txbx>
                      <wps:bodyPr wrap="square" anchor="ctr"/>
                    </wps:wsp>
                  </a:graphicData>
                </a:graphic>
              </wp:anchor>
            </w:drawing>
          </mc:Choice>
          <mc:Fallback>
            <w:pict>
              <v:rect id="Rectangle 5" o:spid="_x0000_s1026" o:spt="1" style="position:absolute;left:0pt;margin-left:240.7pt;margin-top:24.75pt;height:26.05pt;width:101.3pt;z-index:251663360;v-text-anchor:middle;mso-width-relative:page;mso-height-relative:page;" fillcolor="#EAEAEA" filled="t" stroked="t" coordsize="21600,21600" o:gfxdata="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G3OydgAAAAKAQAADwAAAAAAAAABACAAAAAiAAAAZHJzL2Rvd25yZXYueG1s&#10;UEsBAhQAFAAAAAgAh07iQDjHwOP4AQAABAQAAA4AAAAAAAAAAQAgAAAAJwEAAGRycy9lMm9Eb2Mu&#10;eG1sUEsFBgAAAAAGAAYAWQEAAJEFAAAAAA==&#10;">
                <v:fill on="t" focussize="0,0"/>
                <v:stroke color="#B2B2B2" miterlimit="8" joinstyle="miter"/>
                <v:imagedata o:title=""/>
                <o:lock v:ext="edit" aspectratio="f"/>
                <v:textbox>
                  <w:txbxContent>
                    <w:p>
                      <w:pPr>
                        <w:pStyle w:val="15"/>
                        <w:spacing w:beforeAutospacing="0" w:afterAutospacing="0" w:line="312" w:lineRule="auto"/>
                        <w:jc w:val="center"/>
                        <w:rPr>
                          <w:rFonts w:eastAsia="楷体_GB2312"/>
                        </w:rPr>
                      </w:pPr>
                      <w:r>
                        <w:rPr>
                          <w:rFonts w:hint="eastAsia" w:ascii="楷体_GB2312" w:eastAsia="楷体_GB2312" w:cstheme="minorBidi"/>
                          <w:color w:val="006600"/>
                          <w:kern w:val="24"/>
                          <w:sz w:val="21"/>
                          <w:szCs w:val="21"/>
                        </w:rPr>
                        <w:t>未澄清/低于成本</w:t>
                      </w:r>
                    </w:p>
                  </w:txbxContent>
                </v:textbox>
              </v:rect>
            </w:pict>
          </mc:Fallback>
        </mc:AlternateContent>
      </w:r>
      <w:r>
        <w:rPr>
          <w:rFonts w:ascii="宋体" w:hAnsi="宋体" w:eastAsia="宋体"/>
        </w:rPr>
        <mc:AlternateContent>
          <mc:Choice Requires="wps">
            <w:drawing>
              <wp:anchor distT="0" distB="0" distL="114300" distR="114300" simplePos="0" relativeHeight="251662336" behindDoc="0" locked="0" layoutInCell="1" allowOverlap="1">
                <wp:simplePos x="0" y="0"/>
                <wp:positionH relativeFrom="column">
                  <wp:posOffset>1762760</wp:posOffset>
                </wp:positionH>
                <wp:positionV relativeFrom="paragraph">
                  <wp:posOffset>318135</wp:posOffset>
                </wp:positionV>
                <wp:extent cx="981710" cy="330835"/>
                <wp:effectExtent l="4445" t="4445" r="13970" b="7620"/>
                <wp:wrapNone/>
                <wp:docPr id="7" name="Rectangle 5"/>
                <wp:cNvGraphicFramePr/>
                <a:graphic xmlns:a="http://schemas.openxmlformats.org/drawingml/2006/main">
                  <a:graphicData uri="http://schemas.microsoft.com/office/word/2010/wordprocessingShape">
                    <wps:wsp>
                      <wps:cNvSpPr>
                        <a:spLocks noChangeArrowheads="1"/>
                      </wps:cNvSpPr>
                      <wps:spPr bwMode="auto">
                        <a:xfrm>
                          <a:off x="0" y="0"/>
                          <a:ext cx="981710" cy="330835"/>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合理</w:t>
                            </w:r>
                          </w:p>
                        </w:txbxContent>
                      </wps:txbx>
                      <wps:bodyPr wrap="square" anchor="ctr"/>
                    </wps:wsp>
                  </a:graphicData>
                </a:graphic>
              </wp:anchor>
            </w:drawing>
          </mc:Choice>
          <mc:Fallback>
            <w:pict>
              <v:rect id="Rectangle 5" o:spid="_x0000_s1026" o:spt="1" style="position:absolute;left:0pt;margin-left:138.8pt;margin-top:25.05pt;height:26.05pt;width:77.3pt;z-index:251662336;v-text-anchor:middle;mso-width-relative:page;mso-height-relative:page;" fillcolor="#EAEAEA" filled="t" stroked="t" coordsize="21600,21600" o:gfxdata="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ItSeU2QAAAAoBAAAPAAAAAAAAAAEAIAAAACIAAABkcnMvZG93bnJldi54bWxQ&#10;SwECFAAUAAAACACHTuJADJZNQvYBAAACBAAADgAAAAAAAAABACAAAAAoAQAAZHJzL2Uyb0RvYy54&#10;bWxQSwUGAAAAAAYABgBZAQAAkAUAAAAA&#10;">
                <v:fill on="t" focussize="0,0"/>
                <v:stroke color="#B2B2B2" miterlimit="8" joinstyle="miter"/>
                <v:imagedata o:title=""/>
                <o:lock v:ext="edit" aspectratio="f"/>
                <v:textbox>
                  <w:txbxContent>
                    <w:p>
                      <w:pPr>
                        <w:pStyle w:val="15"/>
                        <w:spacing w:beforeAutospacing="0" w:afterAutospacing="0" w:line="312" w:lineRule="auto"/>
                        <w:jc w:val="center"/>
                      </w:pPr>
                      <w:r>
                        <w:rPr>
                          <w:rFonts w:hint="eastAsia" w:ascii="楷体_GB2312" w:eastAsia="楷体_GB2312" w:cstheme="minorBidi"/>
                          <w:color w:val="006600"/>
                          <w:kern w:val="24"/>
                          <w:sz w:val="21"/>
                          <w:szCs w:val="21"/>
                        </w:rPr>
                        <w:t>合理</w:t>
                      </w:r>
                    </w:p>
                  </w:txbxContent>
                </v:textbox>
              </v:rect>
            </w:pict>
          </mc:Fallback>
        </mc:AlternateContent>
      </w:r>
    </w:p>
    <w:p>
      <w:pPr>
        <w:spacing w:line="480" w:lineRule="auto"/>
        <w:rPr>
          <w:rFonts w:ascii="宋体" w:hAnsi="宋体" w:eastAsia="宋体"/>
          <w:b/>
        </w:rPr>
      </w:pPr>
      <w:r>
        <w:rPr>
          <w:rFonts w:hint="eastAsia" w:ascii="宋体" w:hAnsi="宋体" w:eastAsia="宋体" w:cs="Times New Roman"/>
          <w:szCs w:val="21"/>
        </w:rPr>
        <mc:AlternateContent>
          <mc:Choice Requires="wps">
            <w:drawing>
              <wp:anchor distT="0" distB="0" distL="114300" distR="114300" simplePos="0" relativeHeight="251670528" behindDoc="0" locked="0" layoutInCell="1" allowOverlap="1">
                <wp:simplePos x="0" y="0"/>
                <wp:positionH relativeFrom="column">
                  <wp:posOffset>3540760</wp:posOffset>
                </wp:positionH>
                <wp:positionV relativeFrom="paragraph">
                  <wp:posOffset>314325</wp:posOffset>
                </wp:positionV>
                <wp:extent cx="285750" cy="613410"/>
                <wp:effectExtent l="12700" t="12700" r="15875" b="21590"/>
                <wp:wrapNone/>
                <wp:docPr id="28" name="下箭头 28"/>
                <wp:cNvGraphicFramePr/>
                <a:graphic xmlns:a="http://schemas.openxmlformats.org/drawingml/2006/main">
                  <a:graphicData uri="http://schemas.microsoft.com/office/word/2010/wordprocessingShape">
                    <wps:wsp>
                      <wps:cNvSpPr/>
                      <wps:spPr>
                        <a:xfrm>
                          <a:off x="0" y="0"/>
                          <a:ext cx="285750" cy="613410"/>
                        </a:xfrm>
                        <a:prstGeom prst="downArrow">
                          <a:avLst/>
                        </a:prstGeom>
                        <a:solidFill>
                          <a:srgbClr val="4F81BD"/>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67" type="#_x0000_t67" style="position:absolute;left:0pt;margin-left:278.8pt;margin-top:24.75pt;height:48.3pt;width:22.5pt;z-index:251670528;v-text-anchor:middle;mso-width-relative:page;mso-height-relative:page;" fillcolor="#4F81BD" filled="t" stroked="t" coordsize="21600,21600" o:gfxdata="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gxPJdkAAAAKAQAADwAAAAAAAAABACAAAAAiAAAAZHJzL2Rvd25yZXYueG1sUEsBAhQA&#10;FAAAAAgAh07iQFBH2sdjAgAA2gQAAA4AAAAAAAAAAQAgAAAAKAEAAGRycy9lMm9Eb2MueG1sUEsF&#10;BgAAAAAGAAYAWQEAAP0FAAAAAA==&#10;" adj="16569,5400">
                <v:fill on="t" focussize="0,0"/>
                <v:stroke weight="2pt" color="#385D8A" joinstyle="round"/>
                <v:imagedata o:title=""/>
                <o:lock v:ext="edit" aspectratio="f"/>
              </v:shape>
            </w:pict>
          </mc:Fallback>
        </mc:AlternateContent>
      </w:r>
      <w:r>
        <w:rPr>
          <w:rFonts w:hint="eastAsia" w:ascii="宋体" w:hAnsi="宋体" w:eastAsia="宋体" w:cs="Times New Roman"/>
          <w:szCs w:val="21"/>
        </w:rPr>
        <mc:AlternateContent>
          <mc:Choice Requires="wps">
            <w:drawing>
              <wp:anchor distT="0" distB="0" distL="114300" distR="114300" simplePos="0" relativeHeight="251669504" behindDoc="0" locked="0" layoutInCell="1" allowOverlap="1">
                <wp:simplePos x="0" y="0"/>
                <wp:positionH relativeFrom="column">
                  <wp:posOffset>2096770</wp:posOffset>
                </wp:positionH>
                <wp:positionV relativeFrom="paragraph">
                  <wp:posOffset>293370</wp:posOffset>
                </wp:positionV>
                <wp:extent cx="285750" cy="614680"/>
                <wp:effectExtent l="12700" t="12700" r="15875" b="20320"/>
                <wp:wrapNone/>
                <wp:docPr id="27" name="下箭头 27"/>
                <wp:cNvGraphicFramePr/>
                <a:graphic xmlns:a="http://schemas.openxmlformats.org/drawingml/2006/main">
                  <a:graphicData uri="http://schemas.microsoft.com/office/word/2010/wordprocessingShape">
                    <wps:wsp>
                      <wps:cNvSpPr/>
                      <wps:spPr>
                        <a:xfrm>
                          <a:off x="0" y="0"/>
                          <a:ext cx="285750" cy="614680"/>
                        </a:xfrm>
                        <a:prstGeom prst="downArrow">
                          <a:avLst/>
                        </a:prstGeom>
                        <a:solidFill>
                          <a:srgbClr val="4F81BD"/>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67" type="#_x0000_t67" style="position:absolute;left:0pt;margin-left:165.1pt;margin-top:23.1pt;height:48.4pt;width:22.5pt;z-index:251669504;v-text-anchor:middle;mso-width-relative:page;mso-height-relative:page;" fillcolor="#4F81BD" filled="t" stroked="t" coordsize="21600,21600" o:gfxdata="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Ns/wm2AAAAAoBAAAPAAAAAAAAAAEAIAAAACIAAABkcnMvZG93bnJldi54bWxQSwECFAAU&#10;AAAACACHTuJABmUxwWMCAADaBAAADgAAAAAAAAABACAAAAAnAQAAZHJzL2Uyb0RvYy54bWxQSwUG&#10;AAAAAAYABgBZAQAA/AUAAAAA&#10;" adj="16580,5400">
                <v:fill on="t" focussize="0,0"/>
                <v:stroke weight="2pt" color="#385D8A" joinstyle="round"/>
                <v:imagedata o:title=""/>
                <o:lock v:ext="edit" aspectratio="f"/>
              </v:shape>
            </w:pict>
          </mc:Fallback>
        </mc:AlternateContent>
      </w:r>
    </w:p>
    <w:p>
      <w:pPr>
        <w:spacing w:line="480" w:lineRule="auto"/>
        <w:rPr>
          <w:rFonts w:ascii="宋体" w:hAnsi="宋体" w:eastAsia="宋体"/>
          <w:b/>
        </w:rPr>
      </w:pPr>
    </w:p>
    <w:p>
      <w:pPr>
        <w:spacing w:line="480" w:lineRule="auto"/>
        <w:rPr>
          <w:rFonts w:ascii="宋体" w:hAnsi="宋体" w:eastAsia="宋体"/>
          <w:b/>
        </w:rPr>
      </w:pPr>
      <w:r>
        <w:rPr>
          <w:rFonts w:ascii="宋体" w:hAnsi="宋体" w:eastAsia="宋体"/>
        </w:rPr>
        <mc:AlternateContent>
          <mc:Choice Requires="wps">
            <w:drawing>
              <wp:anchor distT="0" distB="0" distL="114300" distR="114300" simplePos="0" relativeHeight="251664384" behindDoc="0" locked="0" layoutInCell="1" allowOverlap="1">
                <wp:simplePos x="0" y="0"/>
                <wp:positionH relativeFrom="column">
                  <wp:posOffset>3220720</wp:posOffset>
                </wp:positionH>
                <wp:positionV relativeFrom="paragraph">
                  <wp:posOffset>235585</wp:posOffset>
                </wp:positionV>
                <wp:extent cx="981710" cy="330835"/>
                <wp:effectExtent l="4445" t="4445" r="13970" b="7620"/>
                <wp:wrapNone/>
                <wp:docPr id="13" name="Rectangle 5"/>
                <wp:cNvGraphicFramePr/>
                <a:graphic xmlns:a="http://schemas.openxmlformats.org/drawingml/2006/main">
                  <a:graphicData uri="http://schemas.microsoft.com/office/word/2010/wordprocessingShape">
                    <wps:wsp>
                      <wps:cNvSpPr>
                        <a:spLocks noChangeArrowheads="1"/>
                      </wps:cNvSpPr>
                      <wps:spPr bwMode="auto">
                        <a:xfrm>
                          <a:off x="0" y="0"/>
                          <a:ext cx="981710" cy="330835"/>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rPr>
                                <w:rFonts w:ascii="楷体_GB2312" w:eastAsia="楷体_GB2312" w:cstheme="minorBidi"/>
                                <w:color w:val="006600"/>
                                <w:kern w:val="24"/>
                                <w:sz w:val="21"/>
                                <w:szCs w:val="21"/>
                              </w:rPr>
                            </w:pPr>
                            <w:r>
                              <w:rPr>
                                <w:rFonts w:hint="eastAsia" w:ascii="楷体_GB2312" w:eastAsia="楷体_GB2312" w:cstheme="minorBidi"/>
                                <w:color w:val="006600"/>
                                <w:kern w:val="24"/>
                                <w:sz w:val="21"/>
                                <w:szCs w:val="21"/>
                              </w:rPr>
                              <w:t>否决</w:t>
                            </w:r>
                          </w:p>
                        </w:txbxContent>
                      </wps:txbx>
                      <wps:bodyPr wrap="square" anchor="ctr"/>
                    </wps:wsp>
                  </a:graphicData>
                </a:graphic>
              </wp:anchor>
            </w:drawing>
          </mc:Choice>
          <mc:Fallback>
            <w:pict>
              <v:rect id="Rectangle 5" o:spid="_x0000_s1026" o:spt="1" style="position:absolute;left:0pt;margin-left:253.6pt;margin-top:18.55pt;height:26.05pt;width:77.3pt;z-index:251664384;v-text-anchor:middle;mso-width-relative:page;mso-height-relative:page;" fillcolor="#EAEAEA" filled="t" stroked="t" coordsize="21600,21600" o:gfxdata="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AVxtvYAAAACQEAAA8AAAAAAAAAAQAgAAAAIgAAAGRycy9kb3ducmV2LnhtbFBL&#10;AQIUABQAAAAIAIdO4kDQBMRR9gEAAAMEAAAOAAAAAAAAAAEAIAAAACcBAABkcnMvZTJvRG9jLnht&#10;bFBLBQYAAAAABgAGAFkBAACPBQAAAAA=&#10;">
                <v:fill on="t" focussize="0,0"/>
                <v:stroke color="#B2B2B2" miterlimit="8" joinstyle="miter"/>
                <v:imagedata o:title=""/>
                <o:lock v:ext="edit" aspectratio="f"/>
                <v:textbox>
                  <w:txbxContent>
                    <w:p>
                      <w:pPr>
                        <w:pStyle w:val="15"/>
                        <w:spacing w:beforeAutospacing="0" w:afterAutospacing="0" w:line="312" w:lineRule="auto"/>
                        <w:jc w:val="center"/>
                        <w:rPr>
                          <w:rFonts w:ascii="楷体_GB2312" w:eastAsia="楷体_GB2312" w:cstheme="minorBidi"/>
                          <w:color w:val="006600"/>
                          <w:kern w:val="24"/>
                          <w:sz w:val="21"/>
                          <w:szCs w:val="21"/>
                        </w:rPr>
                      </w:pPr>
                      <w:r>
                        <w:rPr>
                          <w:rFonts w:hint="eastAsia" w:ascii="楷体_GB2312" w:eastAsia="楷体_GB2312" w:cstheme="minorBidi"/>
                          <w:color w:val="006600"/>
                          <w:kern w:val="24"/>
                          <w:sz w:val="21"/>
                          <w:szCs w:val="21"/>
                        </w:rPr>
                        <w:t>否决</w:t>
                      </w:r>
                    </w:p>
                  </w:txbxContent>
                </v:textbox>
              </v:rect>
            </w:pict>
          </mc:Fallback>
        </mc:AlternateContent>
      </w:r>
      <w:r>
        <w:rPr>
          <w:rFonts w:ascii="宋体" w:hAnsi="宋体" w:eastAsia="宋体"/>
        </w:rPr>
        <mc:AlternateContent>
          <mc:Choice Requires="wps">
            <w:drawing>
              <wp:anchor distT="0" distB="0" distL="114300" distR="114300" simplePos="0" relativeHeight="251665408" behindDoc="0" locked="0" layoutInCell="1" allowOverlap="1">
                <wp:simplePos x="0" y="0"/>
                <wp:positionH relativeFrom="column">
                  <wp:posOffset>1767205</wp:posOffset>
                </wp:positionH>
                <wp:positionV relativeFrom="paragraph">
                  <wp:posOffset>220980</wp:posOffset>
                </wp:positionV>
                <wp:extent cx="981710" cy="330835"/>
                <wp:effectExtent l="4445" t="4445" r="13970" b="7620"/>
                <wp:wrapNone/>
                <wp:docPr id="15" name="Rectangle 5"/>
                <wp:cNvGraphicFramePr/>
                <a:graphic xmlns:a="http://schemas.openxmlformats.org/drawingml/2006/main">
                  <a:graphicData uri="http://schemas.microsoft.com/office/word/2010/wordprocessingShape">
                    <wps:wsp>
                      <wps:cNvSpPr>
                        <a:spLocks noChangeArrowheads="1"/>
                      </wps:cNvSpPr>
                      <wps:spPr bwMode="auto">
                        <a:xfrm>
                          <a:off x="0" y="0"/>
                          <a:ext cx="981710" cy="330835"/>
                        </a:xfrm>
                        <a:prstGeom prst="rect">
                          <a:avLst/>
                        </a:prstGeom>
                        <a:solidFill>
                          <a:srgbClr val="EAEAEA"/>
                        </a:solidFill>
                        <a:ln w="9525">
                          <a:solidFill>
                            <a:srgbClr val="B2B2B2"/>
                          </a:solidFill>
                          <a:miter lim="800000"/>
                        </a:ln>
                      </wps:spPr>
                      <wps:txbx>
                        <w:txbxContent>
                          <w:p>
                            <w:pPr>
                              <w:pStyle w:val="15"/>
                              <w:spacing w:beforeAutospacing="0" w:afterAutospacing="0" w:line="312" w:lineRule="auto"/>
                              <w:jc w:val="center"/>
                              <w:rPr>
                                <w:rFonts w:ascii="楷体_GB2312" w:eastAsia="楷体_GB2312" w:cstheme="minorBidi"/>
                                <w:color w:val="006600"/>
                                <w:kern w:val="24"/>
                                <w:sz w:val="21"/>
                                <w:szCs w:val="21"/>
                              </w:rPr>
                            </w:pPr>
                            <w:r>
                              <w:rPr>
                                <w:rFonts w:hint="eastAsia" w:ascii="楷体_GB2312" w:eastAsia="楷体_GB2312" w:cstheme="minorBidi"/>
                                <w:color w:val="006600"/>
                                <w:kern w:val="24"/>
                                <w:sz w:val="21"/>
                                <w:szCs w:val="21"/>
                              </w:rPr>
                              <w:t>不否决</w:t>
                            </w:r>
                          </w:p>
                        </w:txbxContent>
                      </wps:txbx>
                      <wps:bodyPr wrap="square" anchor="ctr"/>
                    </wps:wsp>
                  </a:graphicData>
                </a:graphic>
              </wp:anchor>
            </w:drawing>
          </mc:Choice>
          <mc:Fallback>
            <w:pict>
              <v:rect id="Rectangle 5" o:spid="_x0000_s1026" o:spt="1" style="position:absolute;left:0pt;margin-left:139.15pt;margin-top:17.4pt;height:26.05pt;width:77.3pt;z-index:251665408;v-text-anchor:middle;mso-width-relative:page;mso-height-relative:page;" fillcolor="#EAEAEA" filled="t" stroked="t" coordsize="21600,21600" o:gfxdata="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kizgZ2QAAAAkBAAAPAAAAAAAAAAEAIAAAACIAAABkcnMvZG93bnJldi54bWxQ&#10;SwECFAAUAAAACACHTuJA9yS4C/YBAAADBAAADgAAAAAAAAABACAAAAAoAQAAZHJzL2Uyb0RvYy54&#10;bWxQSwUGAAAAAAYABgBZAQAAkAUAAAAA&#10;">
                <v:fill on="t" focussize="0,0"/>
                <v:stroke color="#B2B2B2" miterlimit="8" joinstyle="miter"/>
                <v:imagedata o:title=""/>
                <o:lock v:ext="edit" aspectratio="f"/>
                <v:textbox>
                  <w:txbxContent>
                    <w:p>
                      <w:pPr>
                        <w:pStyle w:val="15"/>
                        <w:spacing w:beforeAutospacing="0" w:afterAutospacing="0" w:line="312" w:lineRule="auto"/>
                        <w:jc w:val="center"/>
                        <w:rPr>
                          <w:rFonts w:ascii="楷体_GB2312" w:eastAsia="楷体_GB2312" w:cstheme="minorBidi"/>
                          <w:color w:val="006600"/>
                          <w:kern w:val="24"/>
                          <w:sz w:val="21"/>
                          <w:szCs w:val="21"/>
                        </w:rPr>
                      </w:pPr>
                      <w:r>
                        <w:rPr>
                          <w:rFonts w:hint="eastAsia" w:ascii="楷体_GB2312" w:eastAsia="楷体_GB2312" w:cstheme="minorBidi"/>
                          <w:color w:val="006600"/>
                          <w:kern w:val="24"/>
                          <w:sz w:val="21"/>
                          <w:szCs w:val="21"/>
                        </w:rPr>
                        <w:t>不否决</w:t>
                      </w:r>
                    </w:p>
                  </w:txbxContent>
                </v:textbox>
              </v:rect>
            </w:pict>
          </mc:Fallback>
        </mc:AlternateContent>
      </w:r>
    </w:p>
    <w:p>
      <w:pPr>
        <w:spacing w:line="560" w:lineRule="exact"/>
        <w:rPr>
          <w:rFonts w:ascii="黑体" w:hAnsi="黑体" w:eastAsia="黑体"/>
          <w:sz w:val="32"/>
          <w:szCs w:val="32"/>
        </w:rPr>
      </w:pPr>
    </w:p>
    <w:p>
      <w:pPr>
        <w:numPr>
          <w:ilvl w:val="0"/>
          <w:numId w:val="2"/>
        </w:numPr>
        <w:spacing w:line="560" w:lineRule="exact"/>
        <w:ind w:left="0" w:leftChars="0" w:firstLine="560" w:firstLineChars="200"/>
        <w:rPr>
          <w:rFonts w:hint="eastAsia" w:ascii="黑体" w:hAnsi="黑体" w:eastAsia="黑体" w:cs="黑体"/>
          <w:kern w:val="0"/>
          <w:sz w:val="28"/>
          <w:szCs w:val="28"/>
          <w:lang w:val="en-US" w:eastAsia="zh-CN"/>
        </w:rPr>
      </w:pPr>
      <w:r>
        <w:rPr>
          <w:rFonts w:hint="eastAsia" w:ascii="黑体" w:hAnsi="黑体" w:eastAsia="黑体" w:cs="黑体"/>
          <w:kern w:val="0"/>
          <w:sz w:val="28"/>
          <w:szCs w:val="28"/>
          <w:lang w:val="en-US" w:eastAsia="zh-CN"/>
        </w:rPr>
        <w:t>采购各环节标准化要求</w:t>
      </w:r>
    </w:p>
    <w:p>
      <w:pPr>
        <w:numPr>
          <w:ilvl w:val="0"/>
          <w:numId w:val="5"/>
        </w:numPr>
        <w:spacing w:line="560" w:lineRule="exact"/>
        <w:ind w:left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采购方案</w:t>
      </w:r>
    </w:p>
    <w:p>
      <w:pPr>
        <w:numPr>
          <w:ilvl w:val="0"/>
          <w:numId w:val="0"/>
        </w:numPr>
        <w:spacing w:line="56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如依据项目特点确需对现有标准化规则进行修改或增加其他规则的，采购方案中载明并通过决策后实施。</w:t>
      </w:r>
    </w:p>
    <w:p>
      <w:pPr>
        <w:numPr>
          <w:ilvl w:val="0"/>
          <w:numId w:val="5"/>
        </w:numPr>
        <w:spacing w:line="560" w:lineRule="exact"/>
        <w:ind w:left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采购实施</w:t>
      </w:r>
    </w:p>
    <w:p>
      <w:pPr>
        <w:numPr>
          <w:ilvl w:val="0"/>
          <w:numId w:val="0"/>
        </w:numPr>
        <w:spacing w:line="56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采购文件应依据模板载明异常低价启动条件。</w:t>
      </w:r>
    </w:p>
    <w:p>
      <w:pPr>
        <w:numPr>
          <w:ilvl w:val="0"/>
          <w:numId w:val="0"/>
        </w:numPr>
        <w:spacing w:line="560" w:lineRule="exact"/>
        <w:ind w:firstLine="560" w:firstLineChars="200"/>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评审报告应依据模板载明异常低价启动判定流程和依据。如未触发异常低价启动条件的，可删除模板中的对应内容。</w:t>
      </w:r>
    </w:p>
    <w:p>
      <w:pPr>
        <w:numPr>
          <w:ilvl w:val="0"/>
          <w:numId w:val="5"/>
        </w:numPr>
        <w:spacing w:line="560" w:lineRule="exact"/>
        <w:ind w:left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结果公示</w:t>
      </w:r>
    </w:p>
    <w:p>
      <w:pPr>
        <w:numPr>
          <w:ilvl w:val="0"/>
          <w:numId w:val="0"/>
        </w:numPr>
        <w:spacing w:line="56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针对使用折扣报价方式、框架协议模式签署的工程项目，优化采购结果公示模板，公示结果应包含施工费用各部分组成。</w:t>
      </w:r>
    </w:p>
    <w:p>
      <w:pPr>
        <w:numPr>
          <w:ilvl w:val="0"/>
          <w:numId w:val="0"/>
        </w:numPr>
        <w:spacing w:line="56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请在结果公示中做如下说明：</w:t>
      </w:r>
    </w:p>
    <w:p>
      <w:pPr>
        <w:numPr>
          <w:ilvl w:val="0"/>
          <w:numId w:val="0"/>
        </w:numPr>
        <w:spacing w:line="560" w:lineRule="exact"/>
        <w:ind w:firstLine="560" w:firstLineChars="200"/>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公示报价折扣部分不含（乙供材料费、机械费、仪表使用费、措施费、规费，企业管理费、利润、安全生产费）等费用，详细计量及计价规则以招标文件要求为准。</w:t>
      </w:r>
    </w:p>
    <w:p>
      <w:pPr>
        <w:numPr>
          <w:ilvl w:val="0"/>
          <w:numId w:val="0"/>
        </w:numPr>
        <w:spacing w:line="560" w:lineRule="exact"/>
        <w:ind w:firstLine="560" w:firstLine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各单位可依据项目属性及费用实际情况，对括号中的相应类别进</w:t>
      </w:r>
      <w:bookmarkStart w:id="0" w:name="_GoBack"/>
      <w:bookmarkEnd w:id="0"/>
      <w:r>
        <w:rPr>
          <w:rFonts w:hint="eastAsia" w:ascii="仿宋_GB2312" w:hAnsi="仿宋_GB2312" w:eastAsia="仿宋_GB2312" w:cs="仿宋_GB2312"/>
          <w:kern w:val="0"/>
          <w:sz w:val="28"/>
          <w:szCs w:val="28"/>
          <w:lang w:val="en-US" w:eastAsia="zh-CN"/>
        </w:rPr>
        <w:t>行调整。</w:t>
      </w:r>
    </w:p>
    <w:p>
      <w:pPr>
        <w:numPr>
          <w:ilvl w:val="0"/>
          <w:numId w:val="5"/>
        </w:numPr>
        <w:spacing w:line="560" w:lineRule="exact"/>
        <w:ind w:leftChars="200"/>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采购结果确认</w:t>
      </w:r>
    </w:p>
    <w:p>
      <w:pPr>
        <w:numPr>
          <w:ilvl w:val="0"/>
          <w:numId w:val="0"/>
        </w:numPr>
        <w:spacing w:line="560" w:lineRule="exact"/>
        <w:ind w:firstLine="420" w:firstLineChars="0"/>
        <w:rPr>
          <w:rFonts w:hint="default" w:ascii="仿宋_GB2312" w:hAnsi="仿宋_GB2312" w:eastAsia="仿宋_GB2312" w:cs="仿宋_GB2312"/>
          <w:kern w:val="0"/>
          <w:sz w:val="28"/>
          <w:szCs w:val="28"/>
          <w:lang w:val="en-US" w:eastAsia="zh-CN"/>
        </w:rPr>
      </w:pPr>
      <w:r>
        <w:rPr>
          <w:rFonts w:hint="default" w:ascii="仿宋_GB2312" w:hAnsi="仿宋_GB2312" w:eastAsia="仿宋_GB2312" w:cs="仿宋_GB2312"/>
          <w:kern w:val="0"/>
          <w:sz w:val="28"/>
          <w:szCs w:val="28"/>
          <w:lang w:val="en-US" w:eastAsia="zh-CN"/>
        </w:rPr>
        <w:t>针对工程类项目，优化采购结果确认模板，应在结果确认文件中明确总体中标规模及各部分组成。</w:t>
      </w:r>
      <w:r>
        <w:rPr>
          <w:rFonts w:hint="eastAsia" w:ascii="仿宋_GB2312" w:hAnsi="仿宋_GB2312" w:eastAsia="仿宋_GB2312" w:cs="仿宋_GB2312"/>
          <w:kern w:val="0"/>
          <w:sz w:val="28"/>
          <w:szCs w:val="28"/>
          <w:lang w:val="en-US" w:eastAsia="zh-CN"/>
        </w:rPr>
        <w:t>一级集采项目应依据采购标准化模板要求载明费用组成；各单位可依据项目实际情况，编写适用于二级集采及非集采项目的标准化模板，并依据模板要求载明费用组成。</w:t>
      </w:r>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hint="eastAsia" w:ascii="宋体" w:hAnsi="宋体" w:eastAsia="宋体"/>
        <w:sz w:val="28"/>
        <w:szCs w:val="28"/>
      </w:rPr>
    </w:pPr>
    <w:r>
      <w:rPr>
        <w:rFonts w:hint="eastAsia" w:ascii="宋体" w:hAnsi="宋体" w:eastAsia="宋体"/>
        <w:sz w:val="28"/>
        <w:szCs w:val="28"/>
      </w:rPr>
      <w:t>-</w:t>
    </w:r>
    <w:sdt>
      <w:sdtPr>
        <w:rPr>
          <w:rFonts w:ascii="宋体" w:hAnsi="宋体" w:eastAsia="宋体"/>
          <w:sz w:val="28"/>
          <w:szCs w:val="28"/>
        </w:rPr>
        <w:id w:val="-1"/>
        <w:docPartObj>
          <w:docPartGallery w:val="autotext"/>
        </w:docPartObj>
      </w:sdtPr>
      <w:sdtEndPr>
        <w:rPr>
          <w:rFonts w:ascii="宋体" w:hAnsi="宋体" w:eastAsia="宋体"/>
          <w:sz w:val="28"/>
          <w:szCs w:val="28"/>
        </w:rPr>
      </w:sdtEndPr>
      <w:sdtContent>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sdtContent>
    </w:sdt>
  </w:p>
  <w:p>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2636C"/>
    <w:multiLevelType w:val="singleLevel"/>
    <w:tmpl w:val="8792636C"/>
    <w:lvl w:ilvl="0" w:tentative="0">
      <w:start w:val="2"/>
      <w:numFmt w:val="chineseCounting"/>
      <w:suff w:val="nothing"/>
      <w:lvlText w:val="%1、"/>
      <w:lvlJc w:val="left"/>
      <w:rPr>
        <w:rFonts w:hint="eastAsia"/>
      </w:rPr>
    </w:lvl>
  </w:abstractNum>
  <w:abstractNum w:abstractNumId="1">
    <w:nsid w:val="8E16519E"/>
    <w:multiLevelType w:val="singleLevel"/>
    <w:tmpl w:val="8E16519E"/>
    <w:lvl w:ilvl="0" w:tentative="0">
      <w:start w:val="2"/>
      <w:numFmt w:val="chineseCounting"/>
      <w:suff w:val="nothing"/>
      <w:lvlText w:val="（%1）"/>
      <w:lvlJc w:val="left"/>
      <w:rPr>
        <w:rFonts w:hint="eastAsia"/>
      </w:rPr>
    </w:lvl>
  </w:abstractNum>
  <w:abstractNum w:abstractNumId="2">
    <w:nsid w:val="E8F3F2A4"/>
    <w:multiLevelType w:val="singleLevel"/>
    <w:tmpl w:val="E8F3F2A4"/>
    <w:lvl w:ilvl="0" w:tentative="0">
      <w:start w:val="1"/>
      <w:numFmt w:val="chineseCounting"/>
      <w:suff w:val="nothing"/>
      <w:lvlText w:val="（%1）"/>
      <w:lvlJc w:val="left"/>
      <w:rPr>
        <w:rFonts w:hint="eastAsia"/>
      </w:rPr>
    </w:lvl>
  </w:abstractNum>
  <w:abstractNum w:abstractNumId="3">
    <w:nsid w:val="EFD65E9D"/>
    <w:multiLevelType w:val="singleLevel"/>
    <w:tmpl w:val="EFD65E9D"/>
    <w:lvl w:ilvl="0" w:tentative="0">
      <w:start w:val="1"/>
      <w:numFmt w:val="chineseCounting"/>
      <w:suff w:val="nothing"/>
      <w:lvlText w:val="（%1）"/>
      <w:lvlJc w:val="left"/>
      <w:rPr>
        <w:rFonts w:hint="eastAsia"/>
      </w:rPr>
    </w:lvl>
  </w:abstractNum>
  <w:abstractNum w:abstractNumId="4">
    <w:nsid w:val="692DD461"/>
    <w:multiLevelType w:val="singleLevel"/>
    <w:tmpl w:val="692DD461"/>
    <w:lvl w:ilvl="0" w:tentative="0">
      <w:start w:val="1"/>
      <w:numFmt w:val="decimal"/>
      <w:suff w:val="space"/>
      <w:lvlText w:val="%1."/>
      <w:lvlJc w:val="left"/>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566"/>
    <w:rsid w:val="00092FC4"/>
    <w:rsid w:val="000B487A"/>
    <w:rsid w:val="000C331D"/>
    <w:rsid w:val="000E1F16"/>
    <w:rsid w:val="000E7AAB"/>
    <w:rsid w:val="00151D70"/>
    <w:rsid w:val="00154331"/>
    <w:rsid w:val="00185566"/>
    <w:rsid w:val="00186CC9"/>
    <w:rsid w:val="001E70C3"/>
    <w:rsid w:val="0021240D"/>
    <w:rsid w:val="00220D0A"/>
    <w:rsid w:val="002D2DB3"/>
    <w:rsid w:val="003207EF"/>
    <w:rsid w:val="003461E5"/>
    <w:rsid w:val="00352E03"/>
    <w:rsid w:val="003B67CF"/>
    <w:rsid w:val="003E11BD"/>
    <w:rsid w:val="004008E8"/>
    <w:rsid w:val="004037E7"/>
    <w:rsid w:val="0042175A"/>
    <w:rsid w:val="00441405"/>
    <w:rsid w:val="004D058E"/>
    <w:rsid w:val="004D55AC"/>
    <w:rsid w:val="004E0400"/>
    <w:rsid w:val="0050055B"/>
    <w:rsid w:val="00517BCC"/>
    <w:rsid w:val="00530AA9"/>
    <w:rsid w:val="00540AF4"/>
    <w:rsid w:val="00544767"/>
    <w:rsid w:val="00552B1C"/>
    <w:rsid w:val="00592C36"/>
    <w:rsid w:val="00596FE2"/>
    <w:rsid w:val="005D68EA"/>
    <w:rsid w:val="005E0DA9"/>
    <w:rsid w:val="00625A95"/>
    <w:rsid w:val="00655B5F"/>
    <w:rsid w:val="00681287"/>
    <w:rsid w:val="006849B9"/>
    <w:rsid w:val="006A3DBB"/>
    <w:rsid w:val="007025C0"/>
    <w:rsid w:val="007155A6"/>
    <w:rsid w:val="0073584B"/>
    <w:rsid w:val="007449E0"/>
    <w:rsid w:val="007B4D6C"/>
    <w:rsid w:val="007D1B53"/>
    <w:rsid w:val="007E694C"/>
    <w:rsid w:val="007E73AE"/>
    <w:rsid w:val="00802345"/>
    <w:rsid w:val="00805101"/>
    <w:rsid w:val="0082388C"/>
    <w:rsid w:val="0084386D"/>
    <w:rsid w:val="008F48F5"/>
    <w:rsid w:val="00921E3E"/>
    <w:rsid w:val="009374D8"/>
    <w:rsid w:val="00975152"/>
    <w:rsid w:val="00977AFD"/>
    <w:rsid w:val="00993E12"/>
    <w:rsid w:val="009B5B2C"/>
    <w:rsid w:val="00A21E24"/>
    <w:rsid w:val="00A44B9F"/>
    <w:rsid w:val="00A57256"/>
    <w:rsid w:val="00A76BA5"/>
    <w:rsid w:val="00A87E78"/>
    <w:rsid w:val="00AB76EE"/>
    <w:rsid w:val="00AC0D90"/>
    <w:rsid w:val="00AE61DA"/>
    <w:rsid w:val="00B138B6"/>
    <w:rsid w:val="00B166BE"/>
    <w:rsid w:val="00B20C04"/>
    <w:rsid w:val="00B23329"/>
    <w:rsid w:val="00B77583"/>
    <w:rsid w:val="00BB79F4"/>
    <w:rsid w:val="00BE0107"/>
    <w:rsid w:val="00BE061A"/>
    <w:rsid w:val="00C0773F"/>
    <w:rsid w:val="00C4143B"/>
    <w:rsid w:val="00C50ECA"/>
    <w:rsid w:val="00CB2E27"/>
    <w:rsid w:val="00CE1B3F"/>
    <w:rsid w:val="00CE4CF8"/>
    <w:rsid w:val="00D10296"/>
    <w:rsid w:val="00D208A1"/>
    <w:rsid w:val="00D32C2B"/>
    <w:rsid w:val="00D7206B"/>
    <w:rsid w:val="00DB663B"/>
    <w:rsid w:val="00DD3DF9"/>
    <w:rsid w:val="00E13C4B"/>
    <w:rsid w:val="00E40706"/>
    <w:rsid w:val="00E6186B"/>
    <w:rsid w:val="00E74FBB"/>
    <w:rsid w:val="00EB084D"/>
    <w:rsid w:val="00EF72B2"/>
    <w:rsid w:val="00F02FCD"/>
    <w:rsid w:val="00F064CB"/>
    <w:rsid w:val="00F62BAC"/>
    <w:rsid w:val="00FA2319"/>
    <w:rsid w:val="00FA361C"/>
    <w:rsid w:val="00FA434C"/>
    <w:rsid w:val="00FA5F8A"/>
    <w:rsid w:val="00FE48CB"/>
    <w:rsid w:val="0158023F"/>
    <w:rsid w:val="02CF3A30"/>
    <w:rsid w:val="03885039"/>
    <w:rsid w:val="03F379FA"/>
    <w:rsid w:val="057B7A05"/>
    <w:rsid w:val="07D92F55"/>
    <w:rsid w:val="095A0301"/>
    <w:rsid w:val="096B2BDB"/>
    <w:rsid w:val="0D0B3368"/>
    <w:rsid w:val="10193F7E"/>
    <w:rsid w:val="110F1949"/>
    <w:rsid w:val="12BE4EC4"/>
    <w:rsid w:val="151702A5"/>
    <w:rsid w:val="17137A2B"/>
    <w:rsid w:val="19F811CC"/>
    <w:rsid w:val="1A2C7E03"/>
    <w:rsid w:val="1A7C2080"/>
    <w:rsid w:val="1A7E7AF3"/>
    <w:rsid w:val="1C6103ED"/>
    <w:rsid w:val="1CC00645"/>
    <w:rsid w:val="1F2D2699"/>
    <w:rsid w:val="1F9C0B2D"/>
    <w:rsid w:val="27746448"/>
    <w:rsid w:val="277823F2"/>
    <w:rsid w:val="278063AC"/>
    <w:rsid w:val="28AF775A"/>
    <w:rsid w:val="28BD3A7C"/>
    <w:rsid w:val="28F04416"/>
    <w:rsid w:val="2A4A08BA"/>
    <w:rsid w:val="2B7E32B5"/>
    <w:rsid w:val="2E8C7FA9"/>
    <w:rsid w:val="2F281BD1"/>
    <w:rsid w:val="320C49A6"/>
    <w:rsid w:val="32315909"/>
    <w:rsid w:val="3237484B"/>
    <w:rsid w:val="331E750E"/>
    <w:rsid w:val="33361C34"/>
    <w:rsid w:val="34271E26"/>
    <w:rsid w:val="363C7E4F"/>
    <w:rsid w:val="374A5F3B"/>
    <w:rsid w:val="378C7207"/>
    <w:rsid w:val="3DDD664D"/>
    <w:rsid w:val="3E7027E3"/>
    <w:rsid w:val="3FA05CA4"/>
    <w:rsid w:val="40814C76"/>
    <w:rsid w:val="417901BF"/>
    <w:rsid w:val="419424D2"/>
    <w:rsid w:val="42A463CD"/>
    <w:rsid w:val="42B859BD"/>
    <w:rsid w:val="43940D36"/>
    <w:rsid w:val="4411049D"/>
    <w:rsid w:val="44EB4E41"/>
    <w:rsid w:val="47DB68CC"/>
    <w:rsid w:val="49785D3A"/>
    <w:rsid w:val="4D046F13"/>
    <w:rsid w:val="4F8B3490"/>
    <w:rsid w:val="4FCE2657"/>
    <w:rsid w:val="4FD9251B"/>
    <w:rsid w:val="501F6914"/>
    <w:rsid w:val="520812A5"/>
    <w:rsid w:val="561A710A"/>
    <w:rsid w:val="57365BCC"/>
    <w:rsid w:val="59681F72"/>
    <w:rsid w:val="598B4E1A"/>
    <w:rsid w:val="5C607921"/>
    <w:rsid w:val="5D6719C1"/>
    <w:rsid w:val="5F720F25"/>
    <w:rsid w:val="640D4280"/>
    <w:rsid w:val="64EF4547"/>
    <w:rsid w:val="6618685B"/>
    <w:rsid w:val="66E707A3"/>
    <w:rsid w:val="67045F3C"/>
    <w:rsid w:val="68FE67D7"/>
    <w:rsid w:val="6B564582"/>
    <w:rsid w:val="6CD0687B"/>
    <w:rsid w:val="6F000E89"/>
    <w:rsid w:val="7170412F"/>
    <w:rsid w:val="72C84458"/>
    <w:rsid w:val="73114357"/>
    <w:rsid w:val="753905B0"/>
    <w:rsid w:val="771244E7"/>
    <w:rsid w:val="7AAB5C2E"/>
    <w:rsid w:val="7EF249D2"/>
    <w:rsid w:val="7FC71532"/>
    <w:rsid w:val="7FE10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customStyle="1" w:styleId="21">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qFormat/>
    <w:uiPriority w:val="9"/>
    <w:rPr>
      <w:rFonts w:cstheme="majorBidi"/>
      <w:color w:val="104862" w:themeColor="accent1" w:themeShade="BF"/>
      <w:sz w:val="28"/>
      <w:szCs w:val="28"/>
    </w:rPr>
  </w:style>
  <w:style w:type="character" w:customStyle="1" w:styleId="25">
    <w:name w:val="标题 5 字符"/>
    <w:basedOn w:val="19"/>
    <w:link w:val="6"/>
    <w:semiHidden/>
    <w:qFormat/>
    <w:uiPriority w:val="9"/>
    <w:rPr>
      <w:rFonts w:cstheme="majorBidi"/>
      <w:color w:val="104862" w:themeColor="accent1" w:themeShade="BF"/>
      <w:sz w:val="24"/>
      <w:szCs w:val="24"/>
    </w:rPr>
  </w:style>
  <w:style w:type="character" w:customStyle="1" w:styleId="26">
    <w:name w:val="标题 6 字符"/>
    <w:basedOn w:val="19"/>
    <w:link w:val="7"/>
    <w:semiHidden/>
    <w:qFormat/>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明显参考1"/>
    <w:basedOn w:val="19"/>
    <w:qFormat/>
    <w:uiPriority w:val="32"/>
    <w:rPr>
      <w:b/>
      <w:bCs/>
      <w:smallCaps/>
      <w:color w:val="104862" w:themeColor="accent1" w:themeShade="BF"/>
      <w:spacing w:val="5"/>
    </w:rPr>
  </w:style>
  <w:style w:type="character" w:customStyle="1" w:styleId="39">
    <w:name w:val="页眉 字符"/>
    <w:basedOn w:val="19"/>
    <w:link w:val="13"/>
    <w:qFormat/>
    <w:uiPriority w:val="99"/>
    <w:rPr>
      <w:sz w:val="18"/>
      <w:szCs w:val="18"/>
    </w:rPr>
  </w:style>
  <w:style w:type="character" w:customStyle="1" w:styleId="40">
    <w:name w:val="页脚 字符"/>
    <w:basedOn w:val="19"/>
    <w:link w:val="12"/>
    <w:qFormat/>
    <w:uiPriority w:val="99"/>
    <w:rPr>
      <w:sz w:val="18"/>
      <w:szCs w:val="18"/>
    </w:rPr>
  </w:style>
  <w:style w:type="paragraph" w:customStyle="1" w:styleId="41">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1127</Words>
  <Characters>1205</Characters>
  <Lines>13</Lines>
  <Paragraphs>3</Paragraphs>
  <TotalTime>1238</TotalTime>
  <ScaleCrop>false</ScaleCrop>
  <LinksUpToDate>false</LinksUpToDate>
  <CharactersWithSpaces>1206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2025-01-17T10:04:00Z</dcterms:created>
  <dc:creator>lei zhu</dc:creator>
  <cp:lastModifiedBy>liushu</cp:lastModifiedBy>
  <cp:lastPrinted>2025-10-10T04:48:00Z</cp:lastPrinted>
  <dcterms:modified xsi:type="dcterms:W3CDTF">2025-10-10T10:19:25Z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72C592C289084CFD96F26DDD7A11C13C</vt:lpwstr>
  </property>
  <property fmtid="{D5CDD505-2E9C-101B-9397-08002B2CF9AE}" pid="3" name="KSOProductBuildVer">
    <vt:lpwstr>2052-11.8.2.12309</vt:lpwstr>
  </property>
  <property fmtid="{D5CDD505-2E9C-101B-9397-08002B2CF9AE}" pid="4" name="KSOTemplateDocerSaveRecord">
    <vt:lpwstr>eyJoZGlkIjoiZmNlZTY2YmI2N2M3OTIwOTllODVlNzFhZDdiOTAwOTQiLCJ1c2VySWQiOiI1NTc4OTU4NzYifQ==</vt:lpwstr>
  </property>
</Properties>
</file>